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spacing w:line="250" w:lineRule="auto"/>
        <w:jc w:val="both"/>
      </w:pPr>
    </w:p>
    <w:p>
      <w:pPr>
        <w:pStyle w:val="2"/>
        <w:kinsoku/>
        <w:spacing w:line="250" w:lineRule="auto"/>
        <w:jc w:val="both"/>
      </w:pPr>
    </w:p>
    <w:p>
      <w:pPr>
        <w:pStyle w:val="2"/>
        <w:kinsoku/>
        <w:spacing w:line="250" w:lineRule="auto"/>
        <w:jc w:val="both"/>
      </w:pPr>
    </w:p>
    <w:p>
      <w:pPr>
        <w:pStyle w:val="2"/>
        <w:kinsoku/>
        <w:spacing w:line="250" w:lineRule="auto"/>
        <w:jc w:val="both"/>
      </w:pPr>
    </w:p>
    <w:p>
      <w:pPr>
        <w:pStyle w:val="2"/>
        <w:kinsoku/>
        <w:spacing w:line="250" w:lineRule="auto"/>
        <w:jc w:val="both"/>
      </w:pPr>
    </w:p>
    <w:p>
      <w:pPr>
        <w:pStyle w:val="2"/>
        <w:kinsoku/>
        <w:spacing w:line="250" w:lineRule="auto"/>
        <w:jc w:val="both"/>
      </w:pPr>
    </w:p>
    <w:p>
      <w:pPr>
        <w:pStyle w:val="2"/>
        <w:kinsoku/>
        <w:spacing w:line="250" w:lineRule="auto"/>
        <w:jc w:val="both"/>
      </w:pPr>
    </w:p>
    <w:p>
      <w:pPr>
        <w:pStyle w:val="2"/>
        <w:kinsoku/>
        <w:spacing w:line="250" w:lineRule="auto"/>
        <w:jc w:val="both"/>
      </w:pPr>
    </w:p>
    <w:p>
      <w:pPr>
        <w:pStyle w:val="2"/>
        <w:kinsoku/>
        <w:spacing w:line="250" w:lineRule="auto"/>
        <w:jc w:val="both"/>
      </w:pPr>
    </w:p>
    <w:p>
      <w:pPr>
        <w:kinsoku/>
        <w:spacing w:before="140" w:line="225" w:lineRule="auto"/>
        <w:jc w:val="center"/>
        <w:outlineLvl w:val="0"/>
        <w:rPr>
          <w:rFonts w:ascii="黑体" w:hAnsi="黑体" w:eastAsia="黑体" w:cs="黑体"/>
          <w:sz w:val="43"/>
          <w:szCs w:val="43"/>
          <w:lang w:eastAsia="zh-CN"/>
        </w:rPr>
      </w:pPr>
      <w:r>
        <w:rPr>
          <w:rFonts w:hint="eastAsia" w:ascii="黑体" w:hAnsi="黑体" w:eastAsia="黑体" w:cs="黑体"/>
          <w:spacing w:val="9"/>
          <w:sz w:val="43"/>
          <w:szCs w:val="43"/>
          <w:lang w:eastAsia="zh-CN"/>
        </w:rPr>
        <w:t>非银行支付机构申请变更事项服务指南</w:t>
      </w:r>
    </w:p>
    <w:p>
      <w:pPr>
        <w:pStyle w:val="2"/>
        <w:kinsoku/>
        <w:spacing w:line="244" w:lineRule="auto"/>
        <w:jc w:val="both"/>
        <w:rPr>
          <w:lang w:eastAsia="zh-CN"/>
        </w:rPr>
      </w:pPr>
    </w:p>
    <w:p>
      <w:pPr>
        <w:pStyle w:val="2"/>
        <w:kinsoku/>
        <w:spacing w:line="244" w:lineRule="auto"/>
        <w:jc w:val="both"/>
        <w:rPr>
          <w:lang w:eastAsia="zh-CN"/>
        </w:rPr>
      </w:pPr>
    </w:p>
    <w:p>
      <w:pPr>
        <w:pStyle w:val="2"/>
        <w:kinsoku/>
        <w:spacing w:line="244"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kinsoku/>
        <w:spacing w:before="91" w:line="214" w:lineRule="auto"/>
        <w:ind w:left="1935"/>
        <w:jc w:val="both"/>
        <w:rPr>
          <w:rFonts w:hint="eastAsia" w:ascii="仿宋_GB2312" w:hAnsi="FangSong_GB2312" w:eastAsia="仿宋_GB2312" w:cs="FangSong_GB2312"/>
          <w:sz w:val="28"/>
          <w:szCs w:val="28"/>
          <w:lang w:eastAsia="zh-CN"/>
        </w:rPr>
      </w:pPr>
      <w:r>
        <w:rPr>
          <w:rFonts w:hint="eastAsia" w:ascii="仿宋_GB2312" w:hAnsi="FangSong_GB2312" w:eastAsia="仿宋_GB2312" w:cs="FangSong_GB2312"/>
          <w:b/>
          <w:bCs/>
          <w:spacing w:val="-2"/>
          <w:sz w:val="28"/>
          <w:szCs w:val="28"/>
          <w:lang w:eastAsia="zh-CN"/>
        </w:rPr>
        <w:t>发布机构：</w:t>
      </w:r>
      <w:r>
        <w:rPr>
          <w:rFonts w:hint="eastAsia" w:ascii="仿宋_GB2312" w:hAnsi="FangSong_GB2312" w:eastAsia="仿宋_GB2312" w:cs="FangSong_GB2312"/>
          <w:spacing w:val="-2"/>
          <w:sz w:val="28"/>
          <w:szCs w:val="28"/>
          <w:lang w:eastAsia="zh-CN"/>
        </w:rPr>
        <w:t>中国人民银行大连市分行</w:t>
      </w:r>
    </w:p>
    <w:p>
      <w:pPr>
        <w:kinsoku/>
        <w:spacing w:line="214" w:lineRule="auto"/>
        <w:jc w:val="both"/>
        <w:rPr>
          <w:rFonts w:ascii="FangSong_GB2312" w:hAnsi="FangSong_GB2312" w:eastAsia="FangSong_GB2312" w:cs="FangSong_GB2312"/>
          <w:sz w:val="28"/>
          <w:szCs w:val="28"/>
          <w:lang w:eastAsia="zh-CN"/>
        </w:rPr>
        <w:sectPr>
          <w:footerReference r:id="rId3" w:type="default"/>
          <w:pgSz w:w="11906" w:h="16839"/>
          <w:pgMar w:top="2098" w:right="1474" w:bottom="1984" w:left="1587" w:header="0" w:footer="1212" w:gutter="0"/>
          <w:cols w:space="720" w:num="1"/>
        </w:sectPr>
      </w:pP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非银行支付机构申请变更</w:t>
      </w:r>
      <w:r>
        <w:rPr>
          <w:rFonts w:hint="eastAsia" w:ascii="方正小标宋简体" w:hAnsi="方正小标宋简体" w:eastAsia="方正小标宋简体" w:cs="方正小标宋简体"/>
          <w:color w:val="000000"/>
          <w:sz w:val="36"/>
          <w:szCs w:val="36"/>
        </w:rPr>
        <w:t>事项服务指南</w:t>
      </w:r>
    </w:p>
    <w:p>
      <w:pPr>
        <w:keepNext w:val="0"/>
        <w:keepLines w:val="0"/>
        <w:pageBreakBefore w:val="0"/>
        <w:wordWrap/>
        <w:overflowPunct/>
        <w:topLinePunct w:val="0"/>
        <w:bidi w:val="0"/>
        <w:spacing w:line="560" w:lineRule="exact"/>
        <w:ind w:firstLine="720" w:firstLineChars="200"/>
        <w:jc w:val="center"/>
        <w:rPr>
          <w:rFonts w:hint="eastAsia" w:ascii="方正小标宋简体" w:hAnsi="方正小标宋简体" w:eastAsia="方正小标宋简体" w:cs="方正小标宋简体"/>
          <w:sz w:val="36"/>
          <w:szCs w:val="36"/>
        </w:rPr>
      </w:pP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本指南适用于</w:t>
      </w:r>
      <w:r>
        <w:rPr>
          <w:rFonts w:hint="eastAsia" w:ascii="仿宋_GB2312" w:hAnsi="仿宋_GB2312" w:eastAsia="仿宋_GB2312" w:cs="仿宋_GB2312"/>
          <w:sz w:val="32"/>
          <w:szCs w:val="32"/>
          <w:lang w:val="en-US"/>
        </w:rPr>
        <w:t>注册地在</w:t>
      </w:r>
      <w:r>
        <w:rPr>
          <w:rFonts w:hint="eastAsia" w:ascii="仿宋_GB2312" w:hAnsi="仿宋_GB2312" w:eastAsia="仿宋_GB2312" w:cs="仿宋_GB2312"/>
          <w:sz w:val="32"/>
          <w:szCs w:val="32"/>
          <w:lang w:eastAsia="zh-CN"/>
        </w:rPr>
        <w:t>大连市内</w:t>
      </w:r>
      <w:r>
        <w:rPr>
          <w:rFonts w:hint="eastAsia" w:ascii="仿宋_GB2312" w:hAnsi="仿宋_GB2312" w:eastAsia="仿宋_GB2312" w:cs="仿宋_GB2312"/>
          <w:sz w:val="32"/>
          <w:szCs w:val="32"/>
          <w:lang w:val="en-US"/>
        </w:rPr>
        <w:t>的法人非银行支付机构</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变更</w:t>
      </w:r>
      <w:r>
        <w:rPr>
          <w:rFonts w:hint="eastAsia" w:ascii="仿宋_GB2312" w:hAnsi="仿宋_GB2312" w:eastAsia="仿宋_GB2312" w:cs="仿宋_GB2312"/>
          <w:sz w:val="32"/>
          <w:szCs w:val="32"/>
          <w:lang w:eastAsia="zh-CN"/>
        </w:rPr>
        <w:t>事项办理，具体包括：</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变更主要股东或者实际控制人；</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合并或者分立；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跨省、自治区、直辖市变更住所；</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变更业务类型或者经营地域范围；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变更董事、监事或者高级管理人员；</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变更名称或者注册资本。</w:t>
      </w:r>
    </w:p>
    <w:p>
      <w:pPr>
        <w:keepNext w:val="0"/>
        <w:keepLines w:val="0"/>
        <w:pageBreakBefore w:val="0"/>
        <w:wordWrap/>
        <w:overflowPunct/>
        <w:topLinePunct w:val="0"/>
        <w:bidi w:val="0"/>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rPr>
        <w:t>二、事项审查类型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前审后批。</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2.《中华人民共和国行政许可法》</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号公布）</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四、受理</w:t>
      </w:r>
      <w:r>
        <w:rPr>
          <w:rFonts w:hint="eastAsia" w:ascii="黑体" w:hAnsi="黑体" w:eastAsia="黑体" w:cs="黑体"/>
          <w:b w:val="0"/>
          <w:bCs/>
          <w:sz w:val="32"/>
          <w:szCs w:val="32"/>
          <w:highlight w:val="none"/>
          <w:lang w:eastAsia="zh-CN"/>
        </w:rPr>
        <w:t>机构</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大连市分行。</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rPr>
        <w:t>决定机构</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或中国人民银行大连市分行。</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变更主要股东或者实际控制人的相关规定</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（一）定义界定。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非银行支付机构变更主要股东包括下列情形：</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新增主要股东。</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现有主要股东增加或者减少股权比例。</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非银行支付机构申请变更主要股东或者实际控制人的，应当符合下列条件：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现有主要股东或者实际控制人持股或者实际控制已满3年。现有主要股东改变股权比例且未导致主要股东身份和实际控制人变更，现有主要股东或者实际控制人死亡、丧失完全民事行为能力、执行法院判决、风险处置或者中国人民银行基于审慎监管原则同意再次变更等情形除外</w:t>
      </w:r>
      <w:r>
        <w:rPr>
          <w:rFonts w:hint="eastAsia" w:ascii="仿宋_GB2312" w:hAnsi="仿宋_GB2312" w:eastAsia="仿宋_GB2312" w:cs="仿宋_GB2312"/>
          <w:sz w:val="32"/>
          <w:szCs w:val="32"/>
          <w:lang w:val="en-US" w:eastAsia="zh-CN"/>
        </w:rPr>
        <w:t>。</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拟变更后的主要股东或者实际控制人应当符合</w:t>
      </w:r>
      <w:r>
        <w:rPr>
          <w:rFonts w:hint="eastAsia" w:ascii="仿宋_GB2312" w:hAnsi="仿宋_GB2312" w:eastAsia="仿宋_GB2312" w:cs="仿宋_GB2312"/>
          <w:sz w:val="32"/>
          <w:szCs w:val="32"/>
          <w:lang w:val="en-US" w:eastAsia="zh-CN"/>
        </w:rPr>
        <w:t>《非银行支付机构监督管理条例》</w:t>
      </w:r>
      <w:r>
        <w:rPr>
          <w:rFonts w:hint="default"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en-US" w:eastAsia="zh-CN"/>
        </w:rPr>
        <w:t>《非银行支付机构监督管理条例实施细则》</w:t>
      </w:r>
      <w:r>
        <w:rPr>
          <w:rFonts w:hint="default" w:ascii="仿宋_GB2312" w:hAnsi="仿宋_GB2312" w:eastAsia="仿宋_GB2312" w:cs="仿宋_GB2312"/>
          <w:sz w:val="32"/>
          <w:szCs w:val="32"/>
          <w:lang w:val="en-US" w:eastAsia="zh-CN"/>
        </w:rPr>
        <w:t>有关规定。拟变更后的主要股东或者实际控制人为公司的，还应当具有稳定的盈利来源或者较好的可持续发展能力。</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诚信记录良好。</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非银行支付机构申请变更主要股东或者实际控制人的，应当向住所所在地中国人民银行的分支机构提交下列材料：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书面申请，载明申请人基本情况、变更原因、变更方案、变更前后主要股东或者实际控制人情况等。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申请人材料，包括：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副本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申请人为国有企业、国有控股企业或者上市企业，变更涉及国有资产转让或者上市公司资产交易依法应当取得相关监管部门批准或者备案的，应当提供批准或者备案文件。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股东会或者其他有权决定机构同意申请人变更的决议文件。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拟变更后的主要股东或者实际控制人材料，参照</w:t>
      </w:r>
      <w:r>
        <w:rPr>
          <w:rFonts w:hint="eastAsia" w:ascii="仿宋_GB2312" w:hAnsi="仿宋_GB2312" w:eastAsia="仿宋_GB2312" w:cs="仿宋_GB2312"/>
          <w:sz w:val="32"/>
          <w:szCs w:val="32"/>
          <w:lang w:val="en-US" w:eastAsia="zh-CN"/>
        </w:rPr>
        <w:t>《非银行支付机构监督管理条例实施细则》</w:t>
      </w:r>
      <w:r>
        <w:rPr>
          <w:rFonts w:hint="default" w:ascii="仿宋_GB2312" w:hAnsi="仿宋_GB2312" w:eastAsia="仿宋_GB2312" w:cs="仿宋_GB2312"/>
          <w:sz w:val="32"/>
          <w:szCs w:val="32"/>
          <w:lang w:val="en-US" w:eastAsia="zh-CN"/>
        </w:rPr>
        <w:t>第十条、第十一条规定提供。</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出资或者股权转让协议复印件、价格合理性说明和第三方出具的资产评估报告等相关材料。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申请材料真实性声明。</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七、合并或者分立的相关规定</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（一）定义界定。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《非银行支付机构监督管理条例》</w:t>
      </w:r>
      <w:r>
        <w:rPr>
          <w:rFonts w:hint="default" w:ascii="仿宋_GB2312" w:hAnsi="仿宋_GB2312" w:eastAsia="仿宋_GB2312" w:cs="仿宋_GB2312"/>
          <w:sz w:val="32"/>
          <w:szCs w:val="32"/>
          <w:lang w:val="en-US" w:eastAsia="zh-CN"/>
        </w:rPr>
        <w:t>所称合并是指一家非银行支付机构吸收其他非银行支付机构，合并后只有一家非银行支付机构持有支付业务许可证，其他非银行支付机构解散的行为。合并主体可以获取多家被合并主体全部或者部分业务类型和经营地域范围。</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《非银行支付机构监督管理条例》</w:t>
      </w:r>
      <w:r>
        <w:rPr>
          <w:rFonts w:hint="default" w:ascii="仿宋_GB2312" w:hAnsi="仿宋_GB2312" w:eastAsia="仿宋_GB2312" w:cs="仿宋_GB2312"/>
          <w:sz w:val="32"/>
          <w:szCs w:val="32"/>
          <w:lang w:val="en-US" w:eastAsia="zh-CN"/>
        </w:rPr>
        <w:t>所称分立是指一家非银行支付机构将部分资产和负债分离转让给其他一家或者多家企业，分立后仅有一家法人主体持有支付业务许可证的行为。</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非银行支付机构申请合并或者分立的，应当符合下列条件：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拟合并主体或者拟持证主体符合</w:t>
      </w:r>
      <w:r>
        <w:rPr>
          <w:rFonts w:hint="eastAsia" w:ascii="仿宋_GB2312" w:hAnsi="仿宋_GB2312" w:eastAsia="仿宋_GB2312" w:cs="仿宋_GB2312"/>
          <w:sz w:val="32"/>
          <w:szCs w:val="32"/>
          <w:lang w:val="en-US" w:eastAsia="zh-CN"/>
        </w:rPr>
        <w:t>《非银行支付机构监督管理条例》</w:t>
      </w:r>
      <w:r>
        <w:rPr>
          <w:rFonts w:hint="default"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en-US" w:eastAsia="zh-CN"/>
        </w:rPr>
        <w:t>《非银行支付机构监督管理条例实施细则》</w:t>
      </w:r>
      <w:r>
        <w:rPr>
          <w:rFonts w:hint="default" w:ascii="仿宋_GB2312" w:hAnsi="仿宋_GB2312" w:eastAsia="仿宋_GB2312" w:cs="仿宋_GB2312"/>
          <w:sz w:val="32"/>
          <w:szCs w:val="32"/>
          <w:lang w:val="en-US" w:eastAsia="zh-CN"/>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合并或者分立后股权结构稳定，承诺3年内不再变更主要股东或者实际控制人。主要股东改变股权比例且未导致主要股东身份和实际控制人变更，主要股东或者实际控制人死亡、丧失完全民事行为能力或者存在其他无法继续履行职责，执行法院判决、风险处置或者中国人民银行基于审慎监管原则同意再次变更等情形除外。</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具有保障用户合法权益、支付业务连续性的方案和措施。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诚信记录良好。</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非银行支付机构申请合并的，应当由拟合并主体向住所所在地中国人民银行的分支机构提交下列材料：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书面申请，载明拟合并主体和拟被合并主体的基本情况、变更原因、变更方案等。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拟合并主体和拟被合并主体材料，包括：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副本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诚信记录良好材料，含企业征信报告，以及其他能够说明诚信记录良好的材料。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拟合并主体或者拟被合并主体为国有企业、国有控股企业或者上市企业，变更涉及国有资产转让或者上市公司资产交易依法应当取得相关监管部门批准或者备案的，应当提供批准或者备案文件。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拟合并主体和拟被合并主体股东会或者其他有权决定机构同意拟变更的决议文件。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合并方案和公告，包括业务承接方案和时间安排，用户权益保障、风险控制和舆情应对方案，合并公告样式以及其他需要说明的事项。</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拟合并主体资质合规情况材料，包括拟合并主体在注册资本，董事、监事和高级管理人员，主要股东和实际控制人，公司治理结构、内部控制和风险管理制度，经营场所、安全保障措施，以及业务系统、设施和技术等方面符合</w:t>
      </w:r>
      <w:r>
        <w:rPr>
          <w:rFonts w:hint="eastAsia" w:ascii="仿宋_GB2312" w:hAnsi="仿宋_GB2312" w:eastAsia="仿宋_GB2312" w:cs="仿宋_GB2312"/>
          <w:sz w:val="32"/>
          <w:szCs w:val="32"/>
          <w:lang w:val="en-US" w:eastAsia="zh-CN"/>
        </w:rPr>
        <w:t>《非银行支付机构监督管理条例》</w:t>
      </w:r>
      <w:r>
        <w:rPr>
          <w:rFonts w:hint="default"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en-US" w:eastAsia="zh-CN"/>
        </w:rPr>
        <w:t>《非银行支付机构监督管理条例实施细则》</w:t>
      </w:r>
      <w:r>
        <w:rPr>
          <w:rFonts w:hint="default" w:ascii="仿宋_GB2312" w:hAnsi="仿宋_GB2312" w:eastAsia="仿宋_GB2312" w:cs="仿宋_GB2312"/>
          <w:sz w:val="32"/>
          <w:szCs w:val="32"/>
          <w:lang w:val="en-US" w:eastAsia="zh-CN"/>
        </w:rPr>
        <w:t>有关规定的材料。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出资方资金来源说明。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拟合并主体主要股东与拟被合并主体主要股东之间的关联关系说明，以及拟合并主体各股东之间的关联关系说明。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合并协议复印件、价格合理性说明和第三方出具的资产评估报告等。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拟被合并主体支付业务终止方案。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股权稳定性承诺书。</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申请材料真实性声明。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非银行支付机构申请分立的，应当向拟持证主体住所所在地中国人民银行的分支机构提交下列材料：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书面申请，载明申请人基本情况、变更原因、变更方案等。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副本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申请人为国有企业、国有控股企业或者上市企业，变更涉及国有资产转让或者上市公司资产交易依法应当取得相关监管部门批准或者备案的，应当提供批准或者备案文件。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分立方案和公告，包括拟持证主体业务承接方案和时间安排，用户权益保障、风险控制和舆情应对方案，分立公告样式以及其他需要说明的事项。</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拟持证主体资质合规情况材料，包括拟持证主体在注册资本，董事、监事和高级管理人员，主要股东和实际控制人，公司治理结构、内部控制和风险管理制度，经营场所、安全保障措施，以及业务系统、设施和技术等方面符合</w:t>
      </w:r>
      <w:r>
        <w:rPr>
          <w:rFonts w:hint="eastAsia" w:ascii="仿宋_GB2312" w:hAnsi="仿宋_GB2312" w:eastAsia="仿宋_GB2312" w:cs="仿宋_GB2312"/>
          <w:sz w:val="32"/>
          <w:szCs w:val="32"/>
          <w:lang w:val="en-US" w:eastAsia="zh-CN"/>
        </w:rPr>
        <w:t>《非银行支付机构监督管理条例》</w:t>
      </w:r>
      <w:r>
        <w:rPr>
          <w:rFonts w:hint="default"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en-US" w:eastAsia="zh-CN"/>
        </w:rPr>
        <w:t>《非银行支付机构监督管理条例实施细则》</w:t>
      </w:r>
      <w:r>
        <w:rPr>
          <w:rFonts w:hint="default" w:ascii="仿宋_GB2312" w:hAnsi="仿宋_GB2312" w:eastAsia="仿宋_GB2312" w:cs="仿宋_GB2312"/>
          <w:sz w:val="32"/>
          <w:szCs w:val="32"/>
          <w:lang w:val="en-US" w:eastAsia="zh-CN"/>
        </w:rPr>
        <w:t>有关规定的材料。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拟持证主体各股东之间的关联关系说明。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分立协议复印件，财产、债务分割安排合理性说明和第三方出具的资产评估报告等。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股权稳定性承诺书。</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申请材料真实性声明。</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八、跨省、自治区、直辖市变更住所的相关规定</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（一）规定条件。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申请跨省、自治区、直辖市变更住所的，应当向拟变更后住所所在地中国人民银行的分支机构提交申请。拟变更后住所所在地中国人民银行的分支机构应当征求原住所所在地中国人民银行的分支机构意见，原住所所在地中国人民银行的分支机构应当自收到征求意见函起10日内，向拟变更后住所所在地中国人民银行的分支机构出具审查意见，审查意见包括但不限于非银行支付机构备付金安全情况和合规经营情况等。</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非银行支付机构申请跨省、自治区、直辖市变更住所的，应当符合下列条件：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1.拟变更后的支付业务设施和住所符合《非银行支付机构监督管理条例》及《非银行支付机构监督管理条例实施细则》有关规定。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2.非银行支付机构经核准的经营地域范围覆盖变更后的住所所在地。</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3.最近3年无重大违法违规记录。</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4.诚信记录良好。</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非银行支付机构申请跨省、自治区、直辖市变更住所的，应当向拟变更后住所所在地中国人民银行的分支机构提交下列材料：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1.书面申请，载明申请人基本情况、主要股东和实际控制人情况、变更原因、变更方案等。</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2.申请人相关材料，包括：</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（1）营业执照（副本）复印件和支付业务许可证复印件。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（4）备付金安全承诺。</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4.拟变更后的支付业务设施和住所合规情况材料，参照《非银行支付机构监督管理条例实施细则》第十六条、第十七条规定提供。</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5.申请材料真实性声明。</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九、变更业务类型或者经营地域范围的相关规定</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非银行支付机构申请变更业务类型或者经营地域范围的，应当向住所所在地中国人民银行的分支机构提交申请。</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非银行支付机构拟新增业务类型或者扩大经营地域范围的，应当参照</w:t>
      </w:r>
      <w:r>
        <w:rPr>
          <w:rFonts w:hint="eastAsia" w:ascii="仿宋_GB2312" w:hAnsi="仿宋_GB2312" w:eastAsia="仿宋_GB2312" w:cs="仿宋_GB2312"/>
          <w:sz w:val="32"/>
          <w:szCs w:val="32"/>
          <w:lang w:eastAsia="zh-CN"/>
        </w:rPr>
        <w:t>设立</w:t>
      </w:r>
      <w:r>
        <w:rPr>
          <w:rFonts w:hint="default" w:ascii="仿宋_GB2312" w:hAnsi="仿宋_GB2312" w:eastAsia="仿宋_GB2312" w:cs="仿宋_GB2312"/>
          <w:sz w:val="32"/>
          <w:szCs w:val="32"/>
        </w:rPr>
        <w:t>有关规定办理。</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拟缩小经营地域范围的，其住所所在地中国人民银行的分支机构应当征求拟不再展业地中国人民银行的分支机构意见，拟不再展业地中国人民银行的分支机构应当自收到征求意见函起10日内，向非银行支付机构住所所在地中国人民银行的分支机构出具审查意见，审查意见包括但不限于非银行支付机构备付金安全和合规经营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非银行支付机构申请缩减业务类型或者缩小经营地域范围的，应当符合下列条件：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具有保障用户合法权益、支付业务连续性的方案和措施。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非银行支付机构申请缩减业务类型或者缩小经营地域范围的，应当向住所所在地中国人民银行的分支机构提交下列材料：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书面申请，载明申请人基本情况、变更原因、变更方案等。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副本</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调整方案和公告，包括业务调整方案和时间安排、用户权益保障、风险控制和舆情应对方案、支付业务信息处理方案、调整公告样式和其他需要说明的事项。</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涉及业务承接的，应当提交各有关方签订的承接协议复印件，支付业务信息移交协议或者用户身份资料和交易记录移交协议复印件，与承接方的关联关系说明等。若承接方为非银行支付机构的，承接方应当提交承接后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申请材料真实性声明。</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变更董事、监事或者高级管理人员的相关规定</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非银行支付机构申请变更董事、监事或者高级管理人员的，应当符合下列条件：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拟变更后的董事、监事或者高级管理人员符合</w:t>
      </w:r>
      <w:r>
        <w:rPr>
          <w:rFonts w:hint="eastAsia" w:ascii="仿宋_GB2312" w:hAnsi="仿宋_GB2312" w:eastAsia="仿宋_GB2312" w:cs="仿宋_GB2312"/>
          <w:sz w:val="32"/>
          <w:szCs w:val="32"/>
          <w:lang w:val="en-US" w:eastAsia="zh-CN"/>
        </w:rPr>
        <w:t>《非银行支付机构监督管理条例》</w:t>
      </w:r>
      <w:r>
        <w:rPr>
          <w:rFonts w:hint="default"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en-US" w:eastAsia="zh-CN"/>
        </w:rPr>
        <w:t>《非银行支付机构监督管理条例实施细则》</w:t>
      </w:r>
      <w:r>
        <w:rPr>
          <w:rFonts w:hint="default" w:ascii="仿宋_GB2312" w:hAnsi="仿宋_GB2312" w:eastAsia="仿宋_GB2312" w:cs="仿宋_GB2312"/>
          <w:sz w:val="32"/>
          <w:szCs w:val="32"/>
          <w:lang w:val="en-US" w:eastAsia="zh-CN"/>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最近3年无重大违法违规记录，中国人民银行及其分支机构根据审慎监管原则，责令非银行支付机构调整董事、监事或者高级管理人员的除外。</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备付金管理机制健全有效。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已经中国人民银行及其分支机构批准的非银行支付机构董事、监事在同一非银行支付机构内调任其他董事、监事职位的，或者高级管理人员在同一非银行支付机构内调任其他高级管理人员职位的，非银行支付机构无需提交变更申请，但应当于变更完成后10日内向住所所在地中国人民银行的分支机构报告调任情况。</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非银行支付机构申请变更董事、监事或者高级管理人员的，应当向住所所在地中国人民银行的分支机构提交下列材料：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书面申请，载明申请人基本情况、变更原因、变更前后人员情况等。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副本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拟变更后的董事、监事或者高级管理人员资质合规情况材料，参照</w:t>
      </w:r>
      <w:r>
        <w:rPr>
          <w:rFonts w:hint="eastAsia" w:ascii="仿宋_GB2312" w:hAnsi="仿宋_GB2312" w:eastAsia="仿宋_GB2312" w:cs="仿宋_GB2312"/>
          <w:sz w:val="32"/>
          <w:szCs w:val="32"/>
          <w:lang w:val="en-US" w:eastAsia="zh-CN"/>
        </w:rPr>
        <w:t>《非银行支付机构监督管理条例实施细则》</w:t>
      </w:r>
      <w:r>
        <w:rPr>
          <w:rFonts w:hint="default" w:ascii="仿宋_GB2312" w:hAnsi="仿宋_GB2312" w:eastAsia="仿宋_GB2312" w:cs="仿宋_GB2312"/>
          <w:sz w:val="32"/>
          <w:szCs w:val="32"/>
          <w:lang w:val="en-US" w:eastAsia="zh-CN"/>
        </w:rPr>
        <w:t>第十二条规定提供。</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申请材料真实性声明。</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十一、变更名称或注册资本的相关规定</w:t>
      </w:r>
    </w:p>
    <w:p>
      <w:pPr>
        <w:keepNext w:val="0"/>
        <w:keepLines w:val="0"/>
        <w:pageBreakBefore w:val="0"/>
        <w:wordWrap/>
        <w:overflowPunct/>
        <w:topLinePunct w:val="0"/>
        <w:bidi w:val="0"/>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（一）规定条件。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非银行支付机构申请变更名称的，应当符合下列条件：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拟变更后的名称符合</w:t>
      </w:r>
      <w:r>
        <w:rPr>
          <w:rFonts w:hint="eastAsia" w:ascii="仿宋_GB2312" w:hAnsi="仿宋_GB2312" w:eastAsia="仿宋_GB2312" w:cs="仿宋_GB2312"/>
          <w:sz w:val="32"/>
          <w:szCs w:val="32"/>
          <w:lang w:eastAsia="zh-CN"/>
        </w:rPr>
        <w:t>《非银行支付机构监督管理条例》</w:t>
      </w:r>
      <w:r>
        <w:rPr>
          <w:rFonts w:hint="default" w:ascii="仿宋_GB2312" w:hAnsi="仿宋_GB2312" w:eastAsia="仿宋_GB2312" w:cs="仿宋_GB2312"/>
          <w:sz w:val="32"/>
          <w:szCs w:val="32"/>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备付金管理机制健全有效。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非银行支付机构申请变更注册资本的，应当符合下列条件：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拟变更后的注册资本符合</w:t>
      </w:r>
      <w:r>
        <w:rPr>
          <w:rFonts w:hint="eastAsia" w:ascii="仿宋_GB2312" w:hAnsi="仿宋_GB2312" w:eastAsia="仿宋_GB2312" w:cs="仿宋_GB2312"/>
          <w:sz w:val="32"/>
          <w:szCs w:val="32"/>
          <w:lang w:eastAsia="zh-CN"/>
        </w:rPr>
        <w:t>《非银行支付机构监督管理条例》</w:t>
      </w:r>
      <w:r>
        <w:rPr>
          <w:rFonts w:hint="default"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《非银行支付机构监督管理条例实施细则》</w:t>
      </w:r>
      <w:r>
        <w:rPr>
          <w:rFonts w:hint="default" w:ascii="仿宋_GB2312" w:hAnsi="仿宋_GB2312" w:eastAsia="仿宋_GB2312" w:cs="仿宋_GB2312"/>
          <w:sz w:val="32"/>
          <w:szCs w:val="32"/>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因注册资本变更导致非银行支付机构主要股东和实际控制人变更的，拟变更后的主要股东和实际控制人符合</w:t>
      </w:r>
      <w:r>
        <w:rPr>
          <w:rFonts w:hint="eastAsia" w:ascii="仿宋_GB2312" w:hAnsi="仿宋_GB2312" w:eastAsia="仿宋_GB2312" w:cs="仿宋_GB2312"/>
          <w:sz w:val="32"/>
          <w:szCs w:val="32"/>
          <w:lang w:eastAsia="zh-CN"/>
        </w:rPr>
        <w:t>《非银行支付机构监督管理条例》</w:t>
      </w:r>
      <w:r>
        <w:rPr>
          <w:rFonts w:hint="default"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《非银行支付机构监督管理条例实施细则》</w:t>
      </w:r>
      <w:r>
        <w:rPr>
          <w:rFonts w:hint="default" w:ascii="仿宋_GB2312" w:hAnsi="仿宋_GB2312" w:eastAsia="仿宋_GB2312" w:cs="仿宋_GB2312"/>
          <w:sz w:val="32"/>
          <w:szCs w:val="32"/>
        </w:rPr>
        <w:t>有关规定。</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最近3年无重大违法违规记录。</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诚信记录良好。</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备付金管理机制健全有效。</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非银行支付机构申请变更名称的，应当向住所所在地中国人民银行的分支机构提交下列材料：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书面申请，载明申请人基本情况、变更原因、拟变更的名称等。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副本</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申请材料真实性声明。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非银行支付机构申请变更注册资本的，应当向住所所在地中国人民银行的分支机构提交下列材料：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书面申请，载明申请人基本情况、变更原因、变更方案、变更前后注册资本和股权结构情况等。</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申请人相关材料，包括：</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副本</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复印件和支付业务许可证复印件。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无重大违法违规材料，含最近3年无重大违法违规记录承诺，以及其他能够说明没有因涉嫌重大违法违规正在被调查或者处于整改期间的相关材料。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诚信记录良好材料，含企业征信报告，以及其他能够说明诚信记录良好的相关材料。</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备付金安全承诺。</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公司合规经营情况说明，含最近3年经营情况、被投诉举报情况、受到行政处罚或者被采取监管措施情况，以及上述相关问题的整改情况。</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股东会或者其他有权决定机构同意申请人拟变更的决议文件。</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拟增加注册资本的，应当提供资金来源说明。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申请材料真实性声明。</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十二、多项变更事项的相关规定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同时涉及多项变更事项的，应当按照《非银行支付机构监督管理条例》及《非银行支付机构监督管理条例实施细则》有关规定一次性提出申请。多项变更事项涉及相同申请材料的，非银行支付机构无需重复提交。</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多项变更事项同时涉及由中国人民银行和中国人民银行的分支机构决定的，由中国人民银行的分支机构受理、初步审查后报中国人民银行审查、决定。</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十三、</w:t>
      </w:r>
      <w:r>
        <w:rPr>
          <w:rFonts w:hint="eastAsia" w:ascii="黑体" w:hAnsi="黑体" w:eastAsia="黑体" w:cs="黑体"/>
          <w:sz w:val="32"/>
          <w:szCs w:val="32"/>
        </w:rPr>
        <w:t>申请接收</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（一）接收方式</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大连市分行支付结算处现场接收申请材料</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（二）接收地址</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大连市中山区中山路</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、办理方式</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（一）接收申请材料</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接收申请人提交的申请材料，并清点材料数量。</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清点无误的，中国人民银行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向申请人出具材料接收凭证。</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（二）出具受理意见</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对申请材料进行初步审核，视以下不同情况出具受理意见：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对于申请材料不齐全或者不符合法定形式的，应当向申请人送达行政许可补正告知书，告知申请人需要补正的全部材料、补正期限。</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对于申请材料齐全、符合法定形式的，或者申请人按要求提交全部补正申请材料，应当向申请人送达行政许可受理通知书，并通知申请人及时按规定进行公告。</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对于申请事项依法不属于中国人民银行职权范围，或者申请人提供的补正材料不齐全、不符合法定形式的，应当及时作出不予受理的决定，向申请人送达不予受理行政许可决定书。</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对于受理、不予受理或者要求补正申请材料的通知书，应当自相关文书作出之日起5个工作日内送达当事人。</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（三）中国人民银行</w:t>
      </w:r>
      <w:r>
        <w:rPr>
          <w:rFonts w:hint="eastAsia" w:ascii="楷体" w:hAnsi="楷体" w:eastAsia="楷体" w:cs="楷体"/>
          <w:sz w:val="32"/>
          <w:szCs w:val="32"/>
          <w:lang w:eastAsia="zh-CN"/>
        </w:rPr>
        <w:t>大连市分行审核决定。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对申请材料进行审核，组织对申请人进行现场核查，并提前告知申请人有关核查事项。现场</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查应通过询问工作人员、调阅档案资料、实地调查确认等方式开展。中国人民银行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结合材料审核、现场核查相关情况和公众反馈信息，形成支付业务许可审查意见。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非系统重要性非银行支付机构申请变更</w:t>
      </w:r>
      <w:r>
        <w:rPr>
          <w:rFonts w:hint="eastAsia" w:ascii="仿宋_GB2312" w:hAnsi="宋体" w:eastAsia="仿宋_GB2312" w:cs="仿宋_GB2312"/>
          <w:kern w:val="2"/>
          <w:sz w:val="32"/>
          <w:szCs w:val="32"/>
          <w:highlight w:val="none"/>
          <w:lang w:val="en-US" w:eastAsia="zh-CN" w:bidi="ar-SA"/>
        </w:rPr>
        <w:t>本指南</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lang w:eastAsia="zh-CN"/>
        </w:rPr>
        <w:t>第五项事项的，非银行支付机构申请变更</w:t>
      </w:r>
      <w:r>
        <w:rPr>
          <w:rFonts w:hint="eastAsia" w:ascii="仿宋_GB2312" w:hAnsi="宋体" w:eastAsia="仿宋_GB2312" w:cs="仿宋_GB2312"/>
          <w:kern w:val="2"/>
          <w:sz w:val="32"/>
          <w:szCs w:val="32"/>
          <w:highlight w:val="none"/>
          <w:lang w:val="en-US" w:eastAsia="zh-CN" w:bidi="ar-SA"/>
        </w:rPr>
        <w:t>本指南</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lang w:eastAsia="zh-CN"/>
        </w:rPr>
        <w:t>第六项事项的，</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大连市分行作出批准或者不予批准的决定，并将决定抄报中国人民银行。</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rPr>
        <w:t>四</w:t>
      </w:r>
      <w:r>
        <w:rPr>
          <w:rFonts w:hint="eastAsia" w:ascii="楷体" w:hAnsi="楷体" w:eastAsia="楷体" w:cs="楷体"/>
          <w:sz w:val="32"/>
          <w:szCs w:val="32"/>
        </w:rPr>
        <w:t>）</w:t>
      </w:r>
      <w:r>
        <w:rPr>
          <w:rFonts w:hint="eastAsia" w:ascii="楷体" w:hAnsi="楷体" w:eastAsia="楷体" w:cs="楷体"/>
          <w:sz w:val="32"/>
          <w:szCs w:val="32"/>
          <w:lang w:eastAsia="zh-CN"/>
        </w:rPr>
        <w:t>人民银行总行审核决定。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仿宋_GB2312"/>
          <w:kern w:val="2"/>
          <w:sz w:val="32"/>
          <w:szCs w:val="32"/>
          <w:highlight w:val="none"/>
          <w:lang w:val="en-US" w:eastAsia="zh-CN" w:bidi="ar-SA"/>
        </w:rPr>
        <w:t>非银行支付机构申请变更本指南</w:t>
      </w:r>
      <w:r>
        <w:rPr>
          <w:rFonts w:hint="eastAsia" w:ascii="仿宋_GB2312" w:hAnsi="仿宋_GB2312" w:eastAsia="仿宋_GB2312" w:cs="仿宋_GB2312"/>
          <w:sz w:val="32"/>
          <w:szCs w:val="32"/>
          <w:lang w:val="en-US" w:eastAsia="zh-CN"/>
        </w:rPr>
        <w:t>适用范围</w:t>
      </w:r>
      <w:r>
        <w:rPr>
          <w:rFonts w:hint="eastAsia" w:ascii="仿宋_GB2312" w:hAnsi="宋体" w:eastAsia="仿宋_GB2312" w:cs="仿宋_GB2312"/>
          <w:kern w:val="2"/>
          <w:sz w:val="32"/>
          <w:szCs w:val="32"/>
          <w:highlight w:val="none"/>
          <w:lang w:val="en-US" w:eastAsia="zh-CN" w:bidi="ar-SA"/>
        </w:rPr>
        <w:t>第一项至第四项事项，系统重要性非银行支付机构申请变更本指南</w:t>
      </w:r>
      <w:r>
        <w:rPr>
          <w:rFonts w:hint="eastAsia" w:ascii="仿宋_GB2312" w:hAnsi="仿宋_GB2312" w:eastAsia="仿宋_GB2312" w:cs="仿宋_GB2312"/>
          <w:sz w:val="32"/>
          <w:szCs w:val="32"/>
          <w:lang w:val="en-US" w:eastAsia="zh-CN"/>
        </w:rPr>
        <w:t>适用范围</w:t>
      </w:r>
      <w:r>
        <w:rPr>
          <w:rFonts w:hint="eastAsia" w:ascii="仿宋_GB2312" w:hAnsi="宋体" w:eastAsia="仿宋_GB2312" w:cs="仿宋_GB2312"/>
          <w:kern w:val="2"/>
          <w:sz w:val="32"/>
          <w:szCs w:val="32"/>
          <w:highlight w:val="none"/>
          <w:lang w:val="en-US" w:eastAsia="zh-CN" w:bidi="ar-SA"/>
        </w:rPr>
        <w:t>第五项事项的，中国人民银行总行组织对申请材料进行复审，结合大连市分行</w:t>
      </w:r>
      <w:r>
        <w:rPr>
          <w:rFonts w:hint="eastAsia" w:ascii="仿宋_GB2312" w:hAnsi="宋体" w:eastAsia="仿宋_GB2312" w:cs="仿宋_GB2312"/>
          <w:kern w:val="2"/>
          <w:sz w:val="32"/>
          <w:szCs w:val="32"/>
          <w:lang w:val="en-US" w:eastAsia="zh-CN" w:bidi="ar-SA"/>
        </w:rPr>
        <w:t>初审意见和公众反馈信息，</w:t>
      </w:r>
      <w:r>
        <w:rPr>
          <w:rFonts w:hint="eastAsia" w:ascii="仿宋_GB2312" w:hAnsi="宋体" w:eastAsia="仿宋_GB2312" w:cs="仿宋_GB2312"/>
          <w:kern w:val="2"/>
          <w:sz w:val="32"/>
          <w:szCs w:val="32"/>
          <w:highlight w:val="none"/>
          <w:lang w:val="en-US" w:eastAsia="zh-CN" w:bidi="ar-SA"/>
        </w:rPr>
        <w:t>形成最终审批结果。</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送达行政许可决</w:t>
      </w:r>
      <w:r>
        <w:rPr>
          <w:rFonts w:hint="eastAsia" w:ascii="楷体" w:hAnsi="楷体" w:eastAsia="楷体" w:cs="楷体"/>
          <w:color w:val="auto"/>
          <w:sz w:val="32"/>
          <w:szCs w:val="32"/>
          <w:lang w:val="en-US" w:eastAsia="zh-CN"/>
        </w:rPr>
        <w:t>附件</w:t>
      </w:r>
      <w:r>
        <w:rPr>
          <w:rFonts w:hint="eastAsia" w:ascii="楷体" w:hAnsi="楷体" w:eastAsia="楷体" w:cs="楷体"/>
          <w:color w:val="auto"/>
          <w:sz w:val="32"/>
          <w:szCs w:val="32"/>
          <w:lang w:eastAsia="zh-CN"/>
        </w:rPr>
        <w:t>定。</w:t>
      </w:r>
    </w:p>
    <w:p>
      <w:pPr>
        <w:keepNext w:val="0"/>
        <w:keepLines w:val="0"/>
        <w:pageBreakBefore w:val="0"/>
        <w:widowControl w:val="0"/>
        <w:wordWrap/>
        <w:overflowPunct/>
        <w:topLinePunct w:val="0"/>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hAnsi="宋体" w:eastAsia="仿宋_GB2312" w:cs="仿宋_GB2312"/>
          <w:kern w:val="2"/>
          <w:sz w:val="32"/>
          <w:szCs w:val="32"/>
          <w:highlight w:val="none"/>
          <w:lang w:val="en-US" w:eastAsia="zh-CN" w:bidi="ar-SA"/>
        </w:rPr>
        <w:t>作出行政决定后，中国人民银行大连市分行在10</w:t>
      </w:r>
      <w:r>
        <w:rPr>
          <w:rFonts w:hint="eastAsia" w:ascii="仿宋_GB2312" w:hAnsi="仿宋_GB2312" w:eastAsia="仿宋_GB2312" w:cs="仿宋_GB2312"/>
          <w:sz w:val="32"/>
          <w:szCs w:val="32"/>
          <w:lang w:eastAsia="zh-CN"/>
        </w:rPr>
        <w:t>个工作</w:t>
      </w:r>
      <w:r>
        <w:rPr>
          <w:rFonts w:hint="eastAsia" w:ascii="仿宋_GB2312" w:hAnsi="宋体" w:eastAsia="仿宋_GB2312" w:cs="仿宋_GB2312"/>
          <w:kern w:val="2"/>
          <w:sz w:val="32"/>
          <w:szCs w:val="32"/>
          <w:highlight w:val="none"/>
          <w:lang w:val="en-US" w:eastAsia="zh-CN" w:bidi="ar-SA"/>
        </w:rPr>
        <w:t>日内向申请人送达准予行政许可或者不予行政许可决定书。</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五</w:t>
      </w:r>
      <w:r>
        <w:rPr>
          <w:rFonts w:hint="eastAsia" w:ascii="黑体" w:hAnsi="黑体" w:eastAsia="黑体" w:cs="黑体"/>
          <w:sz w:val="32"/>
          <w:szCs w:val="32"/>
        </w:rPr>
        <w:t>、办结时限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中国人民银行大连市分行在收到申请材料或者全部补正申请材料之日起5个工作日内，向申请人出具行政许可受理通知书。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宋体" w:eastAsia="仿宋_GB2312" w:cs="仿宋_GB2312"/>
          <w:kern w:val="2"/>
          <w:sz w:val="32"/>
          <w:szCs w:val="32"/>
          <w:highlight w:val="none"/>
          <w:lang w:val="en-US" w:eastAsia="zh-CN" w:bidi="ar-SA"/>
        </w:rPr>
        <w:t>非银行支付机构申请变更</w:t>
      </w:r>
      <w:r>
        <w:rPr>
          <w:rFonts w:hint="eastAsia" w:ascii="仿宋_GB2312" w:hAnsi="仿宋_GB2312" w:eastAsia="仿宋_GB2312" w:cs="仿宋_GB2312"/>
          <w:kern w:val="2"/>
          <w:sz w:val="32"/>
          <w:szCs w:val="32"/>
          <w:lang w:val="en-US" w:eastAsia="zh-CN" w:bidi="ar-SA"/>
        </w:rPr>
        <w:t>适应范围第一项至第四项</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kern w:val="2"/>
          <w:sz w:val="32"/>
          <w:szCs w:val="32"/>
          <w:lang w:val="en-US" w:eastAsia="zh-CN" w:bidi="ar-SA"/>
        </w:rPr>
        <w:t>以及</w:t>
      </w:r>
      <w:r>
        <w:rPr>
          <w:rFonts w:hint="eastAsia" w:ascii="仿宋_GB2312" w:hAnsi="宋体" w:eastAsia="仿宋_GB2312" w:cs="仿宋_GB2312"/>
          <w:kern w:val="2"/>
          <w:sz w:val="32"/>
          <w:szCs w:val="32"/>
          <w:highlight w:val="none"/>
          <w:lang w:val="en-US" w:eastAsia="zh-CN" w:bidi="ar-SA"/>
        </w:rPr>
        <w:t>系统重要性非银行支付机构申请变更</w:t>
      </w:r>
      <w:r>
        <w:rPr>
          <w:rFonts w:hint="eastAsia" w:ascii="仿宋_GB2312" w:hAnsi="仿宋_GB2312" w:eastAsia="仿宋_GB2312" w:cs="仿宋_GB2312"/>
          <w:sz w:val="32"/>
          <w:szCs w:val="32"/>
          <w:lang w:val="en-US" w:eastAsia="zh-CN"/>
        </w:rPr>
        <w:t>适用范围</w:t>
      </w:r>
      <w:r>
        <w:rPr>
          <w:rFonts w:hint="eastAsia" w:ascii="仿宋_GB2312" w:hAnsi="宋体" w:eastAsia="仿宋_GB2312" w:cs="仿宋_GB2312"/>
          <w:kern w:val="2"/>
          <w:sz w:val="32"/>
          <w:szCs w:val="32"/>
          <w:highlight w:val="none"/>
          <w:lang w:val="en-US" w:eastAsia="zh-CN" w:bidi="ar-SA"/>
        </w:rPr>
        <w:t>第五项事项的，</w:t>
      </w:r>
      <w:r>
        <w:rPr>
          <w:rFonts w:hint="eastAsia" w:ascii="仿宋_GB2312" w:hAnsi="仿宋_GB2312" w:eastAsia="仿宋_GB2312" w:cs="仿宋_GB2312"/>
          <w:kern w:val="2"/>
          <w:sz w:val="32"/>
          <w:szCs w:val="32"/>
          <w:lang w:val="en-US" w:eastAsia="zh-CN" w:bidi="ar-SA"/>
        </w:rPr>
        <w:t>中国人民银行自中国人民银行大连市分行受理申请之日起3个月内作出批准或者不予批准的决定。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非系统重要性非银行支付机构申请变更</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lang w:eastAsia="zh-CN"/>
        </w:rPr>
        <w:t>第五项事项的，</w:t>
      </w:r>
      <w:r>
        <w:rPr>
          <w:rFonts w:hint="eastAsia" w:ascii="仿宋_GB2312" w:hAnsi="仿宋_GB2312" w:eastAsia="仿宋_GB2312" w:cs="仿宋_GB2312"/>
          <w:kern w:val="2"/>
          <w:sz w:val="32"/>
          <w:szCs w:val="32"/>
          <w:lang w:val="en-US" w:eastAsia="zh-CN" w:bidi="ar-SA"/>
        </w:rPr>
        <w:t>中国人民银行大连市分行自受理申请之日起3个月内作出批准或者不予批准的书面决定。</w:t>
      </w:r>
      <w:bookmarkStart w:id="0" w:name="_GoBack"/>
      <w:bookmarkEnd w:id="0"/>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非</w:t>
      </w:r>
      <w:r>
        <w:rPr>
          <w:rFonts w:hint="eastAsia" w:ascii="仿宋_GB2312" w:hAnsi="仿宋_GB2312" w:eastAsia="仿宋_GB2312" w:cs="仿宋_GB2312"/>
          <w:sz w:val="32"/>
          <w:szCs w:val="32"/>
          <w:lang w:eastAsia="zh-CN"/>
        </w:rPr>
        <w:t>银行支付机构申请变更</w:t>
      </w:r>
      <w:r>
        <w:rPr>
          <w:rFonts w:hint="eastAsia" w:ascii="仿宋_GB2312" w:hAnsi="宋体" w:eastAsia="仿宋_GB2312" w:cs="仿宋_GB2312"/>
          <w:kern w:val="2"/>
          <w:sz w:val="32"/>
          <w:szCs w:val="32"/>
          <w:highlight w:val="none"/>
          <w:lang w:val="en-US" w:eastAsia="zh-CN" w:bidi="ar-SA"/>
        </w:rPr>
        <w:t>本指南</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lang w:eastAsia="zh-CN"/>
        </w:rPr>
        <w:t>第六项事项的</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kern w:val="2"/>
          <w:sz w:val="32"/>
          <w:szCs w:val="32"/>
          <w:lang w:val="en-US" w:eastAsia="zh-CN" w:bidi="ar-SA"/>
        </w:rPr>
        <w:t>大连市分行</w:t>
      </w:r>
      <w:r>
        <w:rPr>
          <w:rFonts w:hint="eastAsia" w:ascii="仿宋_GB2312" w:hAnsi="仿宋_GB2312" w:eastAsia="仿宋_GB2312" w:cs="仿宋_GB2312"/>
          <w:sz w:val="32"/>
          <w:szCs w:val="32"/>
        </w:rPr>
        <w:t>自受理申请之日起1个月内作出批准或者不予批准的决定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非银行支付机构同时涉及多项变更事项的，适用较长审查期限。其中，《中国人民银行行政许可实施办法》（中国人民银行令〔2020〕第1号）第三十三条规定的相关程序不计入时限。</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六</w:t>
      </w:r>
      <w:r>
        <w:rPr>
          <w:rFonts w:hint="eastAsia" w:ascii="黑体" w:hAnsi="黑体" w:eastAsia="黑体" w:cs="黑体"/>
          <w:sz w:val="32"/>
          <w:szCs w:val="32"/>
        </w:rPr>
        <w:t>、收费依据及标准</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rPr>
        <w:t>十</w:t>
      </w:r>
      <w:r>
        <w:rPr>
          <w:rFonts w:hint="eastAsia" w:ascii="黑体" w:hAnsi="黑体" w:eastAsia="黑体" w:cs="黑体"/>
          <w:sz w:val="32"/>
          <w:szCs w:val="32"/>
          <w:lang w:val="en-US" w:eastAsia="zh-CN"/>
        </w:rPr>
        <w:t>七</w:t>
      </w:r>
      <w:r>
        <w:rPr>
          <w:rFonts w:hint="eastAsia" w:ascii="黑体" w:hAnsi="黑体" w:eastAsia="黑体" w:cs="黑体"/>
          <w:sz w:val="32"/>
          <w:szCs w:val="32"/>
          <w:lang w:val="en-US"/>
        </w:rPr>
        <w:t>、</w:t>
      </w:r>
      <w:r>
        <w:rPr>
          <w:rFonts w:hint="eastAsia" w:ascii="黑体" w:hAnsi="黑体" w:eastAsia="黑体" w:cs="黑体"/>
          <w:sz w:val="32"/>
          <w:szCs w:val="32"/>
          <w:lang w:eastAsia="zh-CN"/>
        </w:rPr>
        <w:t>审批结果</w:t>
      </w:r>
    </w:p>
    <w:p>
      <w:pPr>
        <w:keepNext w:val="0"/>
        <w:keepLines w:val="0"/>
        <w:pageBreakBefore w:val="0"/>
        <w:numPr>
          <w:ilvl w:val="0"/>
          <w:numId w:val="0"/>
        </w:numPr>
        <w:wordWrap/>
        <w:overflowPunct/>
        <w:topLinePunct w:val="0"/>
        <w:bidi w:val="0"/>
        <w:spacing w:beforeLines="0" w:afterLines="0" w:line="56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宋体" w:eastAsia="仿宋_GB2312" w:cs="仿宋_GB2312"/>
          <w:kern w:val="2"/>
          <w:sz w:val="32"/>
          <w:szCs w:val="32"/>
          <w:highlight w:val="none"/>
          <w:lang w:val="en-US" w:eastAsia="zh-CN" w:bidi="ar-SA"/>
        </w:rPr>
        <w:t>中国人民银行核发准予行政许可或者不予行政许可决定书。</w:t>
      </w:r>
      <w:r>
        <w:rPr>
          <w:rFonts w:hint="eastAsia" w:ascii="仿宋_GB2312" w:hAnsi="仿宋_GB2312" w:eastAsia="仿宋_GB2312" w:cs="仿宋_GB2312"/>
          <w:kern w:val="2"/>
          <w:sz w:val="32"/>
          <w:szCs w:val="32"/>
          <w:lang w:val="en-US" w:eastAsia="zh-CN" w:bidi="ar-SA"/>
        </w:rPr>
        <w:t>经批准后，非银行支付机构依法向市场监督管理部门办理相关登记手续。</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八</w:t>
      </w:r>
      <w:r>
        <w:rPr>
          <w:rFonts w:hint="eastAsia" w:ascii="黑体" w:hAnsi="黑体" w:eastAsia="黑体" w:cs="黑体"/>
          <w:sz w:val="32"/>
          <w:szCs w:val="32"/>
        </w:rPr>
        <w:t>、行政相对人权利和义务</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（一）依据《中华人民共和国行政许可法》等，申请人依法享有以下权利：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依法取得行政许可的平等权利；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依法申请行政复议和行政诉讼的权利。</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（二）依据《中华人民共和国行政许可法》等，申请人依法履行以下义务：</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保证申请材料实质内容的真实、准确和完整，无虚假记载、误导性陈述或重大遗漏；</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配合中国人民银行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工作人员做好材料签收交接手续；</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按要求及时补正申请材料。</w:t>
      </w:r>
    </w:p>
    <w:p>
      <w:pPr>
        <w:pStyle w:val="5"/>
        <w:keepNext w:val="0"/>
        <w:keepLines w:val="0"/>
        <w:pageBreakBefore w:val="0"/>
        <w:wordWrap/>
        <w:overflowPunct/>
        <w:topLinePunct w:val="0"/>
        <w:bidi w:val="0"/>
        <w:spacing w:line="560" w:lineRule="exact"/>
        <w:ind w:firstLineChars="200"/>
        <w:rPr>
          <w:rFonts w:ascii="Times New Roman" w:eastAsia="黑体"/>
          <w:color w:val="000000"/>
          <w:sz w:val="32"/>
          <w:szCs w:val="32"/>
        </w:rPr>
      </w:pPr>
      <w:r>
        <w:rPr>
          <w:rFonts w:hint="eastAsia" w:ascii="黑体" w:hAnsi="黑体" w:eastAsia="黑体" w:cs="黑体"/>
          <w:sz w:val="32"/>
          <w:szCs w:val="32"/>
          <w:lang w:val="en-US" w:eastAsia="zh-CN"/>
        </w:rPr>
        <w:t>十九、</w:t>
      </w:r>
      <w:r>
        <w:rPr>
          <w:rFonts w:hint="eastAsia" w:ascii="Times New Roman" w:eastAsia="黑体"/>
          <w:color w:val="000000"/>
          <w:sz w:val="32"/>
          <w:szCs w:val="32"/>
        </w:rPr>
        <w:t>咨询途径</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现场咨询：中国人民银行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lang w:val="en-US" w:eastAsia="zh-CN"/>
        </w:rPr>
        <w:t>支付结算处</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信函咨询：</w:t>
      </w:r>
      <w:r>
        <w:rPr>
          <w:rFonts w:hint="eastAsia" w:ascii="仿宋_GB2312" w:hAnsi="仿宋_GB2312" w:eastAsia="仿宋_GB2312" w:cs="仿宋_GB2312"/>
          <w:sz w:val="32"/>
          <w:szCs w:val="32"/>
          <w:lang w:eastAsia="zh-CN"/>
        </w:rPr>
        <w:t>大连市中山区中山路</w:t>
      </w:r>
      <w:r>
        <w:rPr>
          <w:rFonts w:hint="eastAsia" w:ascii="仿宋_GB2312" w:hAnsi="仿宋_GB2312" w:eastAsia="仿宋_GB2312" w:cs="仿宋_GB2312"/>
          <w:sz w:val="32"/>
          <w:szCs w:val="32"/>
          <w:lang w:val="en-US" w:eastAsia="zh-CN"/>
        </w:rPr>
        <w:t>1号中国人民银行大连市分行支付结算处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116001。</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3.电话咨询：0411-83888210。</w:t>
      </w:r>
    </w:p>
    <w:p>
      <w:pPr>
        <w:keepNext w:val="0"/>
        <w:keepLines w:val="0"/>
        <w:pageBreakBefore w:val="0"/>
        <w:wordWrap/>
        <w:overflowPunct/>
        <w:topLinePunct w:val="0"/>
        <w:bidi w:val="0"/>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lang w:eastAsia="zh-CN"/>
        </w:rPr>
        <w:t>二十</w:t>
      </w:r>
      <w:r>
        <w:rPr>
          <w:rFonts w:hint="eastAsia" w:ascii="黑体" w:hAnsi="黑体" w:eastAsia="黑体" w:cs="黑体"/>
          <w:bCs/>
          <w:sz w:val="32"/>
          <w:szCs w:val="32"/>
        </w:rPr>
        <w:t>、监督投诉渠道</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rPr>
        <w:t>电话</w:t>
      </w:r>
      <w:r>
        <w:rPr>
          <w:rFonts w:hint="eastAsia" w:ascii="仿宋_GB2312" w:hAnsi="仿宋_GB2312" w:eastAsia="仿宋_GB2312" w:cs="仿宋_GB2312"/>
          <w:sz w:val="32"/>
          <w:szCs w:val="32"/>
          <w:highlight w:val="none"/>
          <w:lang w:eastAsia="zh-CN"/>
        </w:rPr>
        <w:t>投诉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0411-83888210。</w:t>
      </w:r>
    </w:p>
    <w:p>
      <w:pPr>
        <w:keepNext w:val="0"/>
        <w:keepLines w:val="0"/>
        <w:pageBreakBefore w:val="0"/>
        <w:wordWrap/>
        <w:overflowPunct/>
        <w:topLinePunct w:val="0"/>
        <w:bidi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rPr>
        <w:t>信函投诉：</w:t>
      </w:r>
      <w:r>
        <w:rPr>
          <w:rFonts w:hint="eastAsia" w:ascii="仿宋_GB2312" w:hAnsi="仿宋_GB2312" w:eastAsia="仿宋_GB2312" w:cs="仿宋_GB2312"/>
          <w:sz w:val="32"/>
          <w:szCs w:val="32"/>
          <w:lang w:eastAsia="zh-CN"/>
        </w:rPr>
        <w:t>大连市中山区中山路</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116001。</w:t>
      </w:r>
    </w:p>
    <w:p>
      <w:pPr>
        <w:keepNext w:val="0"/>
        <w:keepLines w:val="0"/>
        <w:pageBreakBefore w:val="0"/>
        <w:wordWrap/>
        <w:overflowPunct/>
        <w:topLinePunct w:val="0"/>
        <w:bidi w:val="0"/>
        <w:spacing w:line="560" w:lineRule="exact"/>
        <w:ind w:firstLine="640" w:firstLineChars="200"/>
        <w:rPr>
          <w:rFonts w:ascii="黑体" w:hAnsi="黑体" w:eastAsia="黑体" w:cs="Times New Roman"/>
          <w:bCs/>
          <w:sz w:val="32"/>
          <w:szCs w:val="32"/>
        </w:rPr>
      </w:pPr>
      <w:r>
        <w:rPr>
          <w:rFonts w:hint="eastAsia" w:ascii="黑体" w:hAnsi="黑体" w:eastAsia="黑体" w:cs="黑体"/>
          <w:bCs/>
          <w:sz w:val="32"/>
          <w:szCs w:val="32"/>
          <w:lang w:eastAsia="zh-CN"/>
        </w:rPr>
        <w:t>二十一</w:t>
      </w:r>
      <w:r>
        <w:rPr>
          <w:rFonts w:hint="eastAsia" w:ascii="黑体" w:hAnsi="黑体" w:eastAsia="黑体" w:cs="黑体"/>
          <w:bCs/>
          <w:sz w:val="32"/>
          <w:szCs w:val="32"/>
        </w:rPr>
        <w:t>、办公地址和时间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大连市中山区中山路</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rPr>
        <w:t>。</w:t>
      </w:r>
    </w:p>
    <w:p>
      <w:pPr>
        <w:ind w:firstLine="640" w:firstLineChars="20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办公时间：工作日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8:30-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35"/>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35"/>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YmVkZDY3ODQ0ZGRlY2RmZjEwZTk1YzMzYzZlZTMifQ=="/>
  </w:docVars>
  <w:rsids>
    <w:rsidRoot w:val="6C51602E"/>
    <w:rsid w:val="2F2B1CFA"/>
    <w:rsid w:val="4DC10903"/>
    <w:rsid w:val="5A8F5421"/>
    <w:rsid w:val="6C51602E"/>
    <w:rsid w:val="6CB9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autoRedefine/>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28"/>
      <w:szCs w:val="28"/>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autoRedefine/>
    <w:unhideWhenUsed/>
    <w:qFormat/>
    <w:uiPriority w:val="99"/>
    <w:pPr>
      <w:ind w:firstLine="640"/>
    </w:pPr>
    <w:rPr>
      <w:rFonts w:ascii="仿宋_GB2312" w:hAnsi="Times New Roman" w:eastAsia="仿宋_GB2312" w:cs="Times New Roman"/>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2025-06-18T07:00:00Z</dcterms:created>
  <dc:creator>孙成伸</dc:creator>
  <cp:lastModifiedBy>孙成伸</cp:lastModifiedBy>
  <cp:lastPrinted>2025-06-18T08:20:00Z</cp:lastPrinted>
  <dcterms:modified xsi:type="dcterms:W3CDTF">2025-06-23T01:55:09Z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92F1F7CBFD1D4B23B7028D9A0C767733_11</vt:lpwstr>
  </property>
  <property fmtid="{D5CDD505-2E9C-101B-9397-08002B2CF9AE}" pid="4" name="KSOTemplateDocerSaveRecord">
    <vt:lpwstr>eyJoZGlkIjoiMGEwMDdhNzYyYzk1NGIyMGU3OWZmYTY1YWMzODhhNzQiLCJ1c2VySWQiOiIyNzU2NzMwNzgifQ==</vt:lpwstr>
  </property>
</Properties>
</file>