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5A" w:rsidRDefault="00E7355A" w:rsidP="00E7355A">
      <w:pPr>
        <w:jc w:val="right"/>
        <w:rPr>
          <w:rFonts w:ascii="黑体" w:eastAsia="黑体" w:hAnsi="黑体"/>
        </w:rPr>
      </w:pPr>
    </w:p>
    <w:p w:rsidR="00E7355A" w:rsidRDefault="00E7355A" w:rsidP="00E7355A">
      <w:pPr>
        <w:jc w:val="right"/>
        <w:rPr>
          <w:rFonts w:ascii="黑体" w:eastAsia="黑体" w:hAnsi="黑体"/>
        </w:rPr>
      </w:pPr>
      <w:bookmarkStart w:id="0" w:name="KPriority_2"/>
      <w:bookmarkEnd w:id="0"/>
      <w:r w:rsidRPr="000C2361">
        <w:pict>
          <v:line id="直线 1025" o:spid="_x0000_s2051" style="position:absolute;left:0;text-align:left;z-index:251661312;mso-position-horizontal:center;mso-position-horizontal-relative:page;mso-position-vertical-relative:margin" from="0,189.9pt" to="442.25pt,189.95pt" o:preferrelative="t" strokecolor="red" strokeweight="1.5pt">
            <v:stroke miterlimit="2"/>
            <w10:wrap anchorx="page" anchory="margin"/>
          </v:line>
        </w:pict>
      </w:r>
    </w:p>
    <w:p w:rsidR="00E7355A" w:rsidRDefault="00E7355A" w:rsidP="00E7355A">
      <w:pPr>
        <w:jc w:val="right"/>
        <w:rPr>
          <w:rFonts w:ascii="黑体" w:eastAsia="黑体" w:hAnsi="黑体"/>
        </w:rPr>
      </w:pPr>
      <w:r>
        <w:rPr>
          <w:rFonts w:ascii="黑体" w:eastAsia="黑体" w:hAnsi="黑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026" o:spid="_x0000_s2050" type="#_x0000_t202" style="position:absolute;left:0;text-align:left;margin-left:0;margin-top:62.65pt;width:567pt;height:62.35pt;z-index:251660288;mso-position-horizontal:center;mso-position-horizontal-relative:page;mso-position-vertical-relative:margin" o:preferrelative="t" filled="f" stroked="f">
            <v:fill rotate="t"/>
            <v:textbox inset="0,0,0,0">
              <w:txbxContent>
                <w:p w:rsidR="00E7355A" w:rsidRDefault="00E7355A" w:rsidP="00E7355A">
                  <w:pPr>
                    <w:spacing w:line="1200" w:lineRule="exact"/>
                    <w:jc w:val="center"/>
                    <w:textAlignment w:val="baseline"/>
                    <w:rPr>
                      <w:rFonts w:ascii="方正小标宋_GBK" w:eastAsia="方正小标宋_GBK" w:hAnsi="方正小标宋_GBK"/>
                      <w:color w:val="FF0000"/>
                      <w:w w:val="66"/>
                      <w:sz w:val="102"/>
                    </w:rPr>
                  </w:pPr>
                  <w:r>
                    <w:rPr>
                      <w:rFonts w:ascii="方正小标宋_GBK" w:eastAsia="方正小标宋_GBK" w:hAnsi="方正小标宋_GBK" w:hint="eastAsia"/>
                      <w:color w:val="FF0000"/>
                      <w:w w:val="66"/>
                      <w:sz w:val="102"/>
                    </w:rPr>
                    <w:t>中国人民银行上海分行</w:t>
                  </w:r>
                  <w:bookmarkStart w:id="1" w:name="TViewDept"/>
                  <w:bookmarkEnd w:id="1"/>
                  <w:r>
                    <w:rPr>
                      <w:rFonts w:ascii="方正小标宋_GBK" w:eastAsia="方正小标宋_GBK" w:hAnsi="方正小标宋_GBK" w:hint="eastAsia"/>
                      <w:color w:val="FF0000"/>
                      <w:w w:val="66"/>
                      <w:sz w:val="102"/>
                    </w:rPr>
                    <w:t>文件</w:t>
                  </w:r>
                </w:p>
              </w:txbxContent>
            </v:textbox>
            <w10:wrap anchorx="page" anchory="margin"/>
          </v:shape>
        </w:pict>
      </w:r>
    </w:p>
    <w:p w:rsidR="00E7355A" w:rsidRDefault="00E7355A" w:rsidP="00E7355A">
      <w:pPr>
        <w:jc w:val="right"/>
        <w:rPr>
          <w:rFonts w:ascii="黑体" w:eastAsia="黑体" w:hAnsi="黑体"/>
        </w:rPr>
      </w:pPr>
    </w:p>
    <w:p w:rsidR="00E7355A" w:rsidRDefault="00E7355A" w:rsidP="00E7355A">
      <w:pPr>
        <w:jc w:val="left"/>
        <w:textAlignment w:val="baseline"/>
        <w:rPr>
          <w:rFonts w:ascii="黑体" w:eastAsia="黑体" w:hAnsi="黑体"/>
        </w:rPr>
      </w:pPr>
    </w:p>
    <w:p w:rsidR="00E7355A" w:rsidRDefault="00E7355A" w:rsidP="00E7355A">
      <w:pPr>
        <w:ind w:firstLineChars="200" w:firstLine="630"/>
        <w:jc w:val="left"/>
        <w:textAlignment w:val="baseline"/>
        <w:rPr>
          <w:rFonts w:ascii="黑体" w:eastAsia="黑体" w:hAnsi="黑体"/>
        </w:rPr>
      </w:pPr>
    </w:p>
    <w:p w:rsidR="00E7355A" w:rsidRDefault="00E7355A" w:rsidP="00E7355A">
      <w:pPr>
        <w:spacing w:line="578" w:lineRule="exact"/>
        <w:jc w:val="center"/>
        <w:textAlignment w:val="baseline"/>
        <w:rPr>
          <w:rFonts w:ascii="仿宋_GB2312" w:hAnsi="仿宋_GB2312"/>
          <w:position w:val="6"/>
          <w:sz w:val="32"/>
        </w:rPr>
      </w:pPr>
      <w:bookmarkStart w:id="2" w:name="_GoBack"/>
      <w:r>
        <w:rPr>
          <w:rFonts w:ascii="仿宋_GB2312" w:hAnsi="仿宋_GB2312" w:hint="eastAsia"/>
          <w:position w:val="6"/>
          <w:sz w:val="32"/>
        </w:rPr>
        <w:t>上海</w:t>
      </w:r>
      <w:r>
        <w:rPr>
          <w:rFonts w:hint="eastAsia"/>
          <w:position w:val="6"/>
          <w:sz w:val="32"/>
        </w:rPr>
        <w:t>银发</w:t>
      </w:r>
      <w:r>
        <w:rPr>
          <w:rFonts w:ascii="仿宋_GB2312" w:hAnsi="仿宋_GB2312" w:hint="eastAsia"/>
          <w:position w:val="6"/>
          <w:sz w:val="32"/>
        </w:rPr>
        <w:t>〔</w:t>
      </w:r>
      <w:r>
        <w:rPr>
          <w:rFonts w:hint="eastAsia"/>
          <w:position w:val="6"/>
          <w:sz w:val="32"/>
        </w:rPr>
        <w:t>2018</w:t>
      </w:r>
      <w:r>
        <w:rPr>
          <w:rFonts w:ascii="仿宋_GB2312" w:hAnsi="仿宋_GB2312" w:hint="eastAsia"/>
          <w:position w:val="6"/>
          <w:sz w:val="32"/>
        </w:rPr>
        <w:t>〕</w:t>
      </w:r>
      <w:r>
        <w:rPr>
          <w:rFonts w:hint="eastAsia"/>
          <w:position w:val="6"/>
          <w:sz w:val="32"/>
        </w:rPr>
        <w:t>213</w:t>
      </w:r>
      <w:r>
        <w:rPr>
          <w:rFonts w:ascii="仿宋_GB2312" w:hAnsi="仿宋_GB2312" w:hint="eastAsia"/>
          <w:position w:val="6"/>
          <w:sz w:val="32"/>
        </w:rPr>
        <w:t>号</w:t>
      </w:r>
      <w:bookmarkEnd w:id="2"/>
    </w:p>
    <w:p w:rsidR="00E7355A" w:rsidRDefault="00E7355A" w:rsidP="00E7355A">
      <w:pPr>
        <w:spacing w:line="578" w:lineRule="exact"/>
        <w:ind w:firstLineChars="200" w:firstLine="630"/>
        <w:jc w:val="left"/>
        <w:textAlignment w:val="baseline"/>
        <w:rPr>
          <w:rFonts w:ascii="仿宋_GB2312" w:hAnsi="仿宋_GB2312"/>
        </w:rPr>
      </w:pPr>
    </w:p>
    <w:p w:rsidR="00E7355A" w:rsidRDefault="00E7355A" w:rsidP="00E7355A">
      <w:pPr>
        <w:spacing w:line="578" w:lineRule="exact"/>
        <w:ind w:firstLineChars="200" w:firstLine="630"/>
        <w:jc w:val="left"/>
        <w:textAlignment w:val="baseline"/>
        <w:rPr>
          <w:rFonts w:ascii="仿宋_GB2312" w:hAnsi="仿宋_GB2312"/>
        </w:rPr>
      </w:pPr>
    </w:p>
    <w:p w:rsidR="00E7355A" w:rsidRDefault="00E7355A" w:rsidP="00E7355A">
      <w:pPr>
        <w:spacing w:line="578" w:lineRule="exact"/>
        <w:jc w:val="center"/>
        <w:textAlignment w:val="baseline"/>
        <w:rPr>
          <w:rFonts w:ascii="方正小标宋_GBK" w:eastAsia="方正小标宋_GBK" w:hAnsi="方正小标宋_GBK" w:cs="方正小标宋_GBK"/>
          <w:color w:val="2F2F2F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2F2F2F"/>
          <w:sz w:val="44"/>
          <w:szCs w:val="44"/>
          <w:shd w:val="clear" w:color="auto" w:fill="FFFFFF"/>
        </w:rPr>
        <w:t>中国人民银行上海分行关于</w:t>
      </w:r>
      <w:r>
        <w:rPr>
          <w:rFonts w:ascii="方正小标宋_GBK" w:eastAsia="方正小标宋_GBK" w:hAnsi="方正小标宋_GBK" w:cs="方正小标宋_GBK"/>
          <w:color w:val="2F2F2F"/>
          <w:sz w:val="44"/>
          <w:szCs w:val="44"/>
          <w:shd w:val="clear" w:color="auto" w:fill="FFFFFF"/>
        </w:rPr>
        <w:t>修订《上海市</w:t>
      </w:r>
    </w:p>
    <w:p w:rsidR="00E7355A" w:rsidRDefault="00E7355A" w:rsidP="00E7355A">
      <w:pPr>
        <w:spacing w:line="578" w:lineRule="exact"/>
        <w:jc w:val="center"/>
        <w:textAlignment w:val="baseline"/>
        <w:rPr>
          <w:rFonts w:ascii="方正小标宋_GBK" w:eastAsia="方正小标宋_GBK" w:hAnsi="方正小标宋_GBK" w:cs="方正小标宋_GBK"/>
          <w:color w:val="2F2F2F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color w:val="2F2F2F"/>
          <w:sz w:val="44"/>
          <w:szCs w:val="44"/>
          <w:shd w:val="clear" w:color="auto" w:fill="FFFFFF"/>
        </w:rPr>
        <w:t>支付清算系统运行管理实施细则》的通知</w:t>
      </w:r>
    </w:p>
    <w:p w:rsidR="00E7355A" w:rsidRDefault="00E7355A" w:rsidP="00E7355A">
      <w:pPr>
        <w:spacing w:line="578" w:lineRule="exact"/>
        <w:jc w:val="left"/>
        <w:textAlignment w:val="baseline"/>
        <w:rPr>
          <w:rFonts w:ascii="仿宋_GB2312" w:hAnsi="仿宋_GB2312"/>
        </w:rPr>
      </w:pPr>
    </w:p>
    <w:p w:rsidR="00E7355A" w:rsidRDefault="00E7355A" w:rsidP="00E7355A">
      <w:pPr>
        <w:spacing w:line="578" w:lineRule="exact"/>
        <w:jc w:val="left"/>
        <w:textAlignment w:val="baseline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上海浦东发展银行，上海银行，上海农商银行，上海华瑞银行，上海市各经营人民币业务的外资银行，上海汽车集团财务有限责任公司，宝钢集团财务有限责任公司，中国外汇交易中心，城市商业银行资金清算中心</w:t>
      </w:r>
      <w:r>
        <w:rPr>
          <w:rFonts w:ascii="仿宋_GB2312" w:hAnsi="仿宋_GB2312" w:cs="仿宋_GB2312" w:hint="eastAsia"/>
          <w:sz w:val="32"/>
          <w:szCs w:val="32"/>
        </w:rPr>
        <w:t>：</w:t>
      </w:r>
    </w:p>
    <w:p w:rsidR="00E7355A" w:rsidRDefault="00E7355A" w:rsidP="00E7355A">
      <w:pPr>
        <w:spacing w:line="578" w:lineRule="exact"/>
        <w:ind w:firstLineChars="200" w:firstLine="67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为进一步规范上海市支付清算系统的运行管理，适应上海市支付清算系统不断发展的新形势，确保</w:t>
      </w:r>
      <w:r>
        <w:rPr>
          <w:rFonts w:ascii="仿宋_GB2312" w:hAnsi="仿宋_GB2312" w:cs="仿宋_GB2312" w:hint="eastAsia"/>
          <w:sz w:val="32"/>
          <w:szCs w:val="32"/>
        </w:rPr>
        <w:t>第二代</w:t>
      </w:r>
      <w:r>
        <w:rPr>
          <w:rFonts w:ascii="仿宋_GB2312" w:hAnsi="仿宋_GB2312" w:cs="仿宋_GB2312"/>
          <w:sz w:val="32"/>
          <w:szCs w:val="32"/>
        </w:rPr>
        <w:t>支付系统</w:t>
      </w:r>
      <w:r>
        <w:rPr>
          <w:rFonts w:ascii="仿宋_GB2312" w:hAnsi="仿宋_GB2312" w:cs="仿宋_GB2312" w:hint="eastAsia"/>
          <w:sz w:val="32"/>
          <w:szCs w:val="32"/>
        </w:rPr>
        <w:t>在沪</w:t>
      </w:r>
      <w:r>
        <w:rPr>
          <w:rFonts w:ascii="仿宋_GB2312" w:hAnsi="仿宋_GB2312" w:cs="仿宋_GB2312"/>
          <w:sz w:val="32"/>
          <w:szCs w:val="32"/>
        </w:rPr>
        <w:t>安全、高效运行，我分行对《上海市支付清算系统运行管理实施细则》（上海银发</w:t>
      </w:r>
      <w:r>
        <w:rPr>
          <w:rFonts w:cs="仿宋_GB2312" w:hint="eastAsia"/>
          <w:sz w:val="32"/>
          <w:szCs w:val="32"/>
        </w:rPr>
        <w:t>〔</w:t>
      </w:r>
      <w:r>
        <w:rPr>
          <w:rFonts w:ascii="仿宋_GB2312" w:hAnsi="仿宋_GB2312" w:cs="仿宋_GB2312"/>
          <w:sz w:val="32"/>
          <w:szCs w:val="32"/>
        </w:rPr>
        <w:t>2013</w:t>
      </w:r>
      <w:r>
        <w:rPr>
          <w:rFonts w:cs="仿宋_GB2312" w:hint="eastAsia"/>
          <w:sz w:val="32"/>
          <w:szCs w:val="32"/>
        </w:rPr>
        <w:t>〕</w:t>
      </w:r>
      <w:r>
        <w:rPr>
          <w:rFonts w:ascii="仿宋_GB2312" w:hAnsi="仿宋_GB2312" w:cs="仿宋_GB2312"/>
          <w:sz w:val="32"/>
          <w:szCs w:val="32"/>
        </w:rPr>
        <w:t>53文号印发）进行了修订</w:t>
      </w:r>
      <w:r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仿宋_GB2312" w:hAnsi="仿宋_GB2312" w:cs="仿宋_GB2312"/>
          <w:sz w:val="32"/>
          <w:szCs w:val="32"/>
        </w:rPr>
        <w:t>现印发</w:t>
      </w:r>
      <w:r>
        <w:rPr>
          <w:rFonts w:ascii="仿宋_GB2312" w:hAnsi="仿宋_GB2312" w:cs="仿宋_GB2312" w:hint="eastAsia"/>
          <w:sz w:val="32"/>
          <w:szCs w:val="32"/>
        </w:rPr>
        <w:t>你</w:t>
      </w:r>
      <w:r>
        <w:rPr>
          <w:rFonts w:cs="仿宋_GB2312" w:hint="eastAsia"/>
          <w:sz w:val="32"/>
          <w:szCs w:val="32"/>
        </w:rPr>
        <w:t>们</w:t>
      </w:r>
      <w:r>
        <w:rPr>
          <w:rFonts w:ascii="仿宋_GB2312" w:hAnsi="仿宋_GB2312" w:cs="仿宋_GB2312"/>
          <w:sz w:val="32"/>
          <w:szCs w:val="32"/>
        </w:rPr>
        <w:t>，请遵照执行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E7355A" w:rsidRDefault="00E7355A" w:rsidP="00E7355A">
      <w:pPr>
        <w:spacing w:line="578" w:lineRule="exact"/>
        <w:ind w:firstLineChars="200" w:firstLine="67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特此通知。</w:t>
      </w:r>
    </w:p>
    <w:p w:rsidR="00E7355A" w:rsidRDefault="00E7355A" w:rsidP="00E7355A">
      <w:pPr>
        <w:spacing w:line="578" w:lineRule="exact"/>
        <w:ind w:firstLineChars="200" w:firstLine="670"/>
        <w:textAlignment w:val="baseline"/>
        <w:rPr>
          <w:rFonts w:ascii="仿宋_GB2312" w:hAnsi="仿宋_GB2312" w:cs="仿宋_GB2312"/>
          <w:sz w:val="32"/>
          <w:szCs w:val="32"/>
        </w:rPr>
      </w:pPr>
    </w:p>
    <w:p w:rsidR="00E7355A" w:rsidRDefault="00E7355A" w:rsidP="00E7355A">
      <w:pPr>
        <w:spacing w:line="578" w:lineRule="exact"/>
        <w:ind w:leftChars="200" w:left="1635" w:hangingChars="300" w:hanging="1005"/>
        <w:textAlignment w:val="baseline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附件：上海市支付清算系统运行管理实施细则</w:t>
      </w:r>
    </w:p>
    <w:p w:rsidR="00E7355A" w:rsidRDefault="00E7355A" w:rsidP="00E7355A">
      <w:pPr>
        <w:spacing w:line="578" w:lineRule="exact"/>
        <w:textAlignment w:val="baseline"/>
        <w:rPr>
          <w:rFonts w:ascii="仿宋_GB2312" w:hAnsi="仿宋_GB2312" w:cs="仿宋_GB2312"/>
          <w:sz w:val="32"/>
          <w:szCs w:val="32"/>
        </w:rPr>
      </w:pPr>
    </w:p>
    <w:p w:rsidR="00E7355A" w:rsidRDefault="00E7355A" w:rsidP="00E7355A">
      <w:pPr>
        <w:spacing w:line="578" w:lineRule="exact"/>
        <w:textAlignment w:val="baseline"/>
        <w:rPr>
          <w:rFonts w:ascii="仿宋_GB2312" w:hAnsi="仿宋_GB2312" w:cs="仿宋_GB2312"/>
          <w:sz w:val="32"/>
          <w:szCs w:val="32"/>
        </w:rPr>
      </w:pPr>
    </w:p>
    <w:p w:rsidR="00E7355A" w:rsidRDefault="00E7355A" w:rsidP="00E7355A">
      <w:pPr>
        <w:spacing w:line="578" w:lineRule="exact"/>
        <w:ind w:right="964"/>
        <w:jc w:val="right"/>
        <w:textAlignment w:val="baseline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shd w:val="clear" w:color="auto" w:fill="FFFFFF"/>
        </w:rPr>
        <w:t>中国人民银行上海分行</w:t>
      </w:r>
    </w:p>
    <w:p w:rsidR="00E7355A" w:rsidRDefault="00E7355A" w:rsidP="00E7355A">
      <w:pPr>
        <w:spacing w:line="578" w:lineRule="exact"/>
        <w:ind w:right="1260"/>
        <w:jc w:val="right"/>
        <w:textAlignment w:val="baseline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2018年9月19日</w:t>
      </w:r>
    </w:p>
    <w:p w:rsidR="006C40F7" w:rsidRPr="00E7355A" w:rsidRDefault="006C40F7"/>
    <w:sectPr w:rsidR="006C40F7" w:rsidRPr="00E7355A" w:rsidSect="000C2361">
      <w:footerReference w:type="default" r:id="rId6"/>
      <w:pgSz w:w="11906" w:h="16838"/>
      <w:pgMar w:top="1927" w:right="1530" w:bottom="1701" w:left="1530" w:header="850" w:footer="1190" w:gutter="0"/>
      <w:cols w:space="720"/>
      <w:docGrid w:type="linesAndChars" w:linePitch="521" w:charSpace="30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0F7" w:rsidRDefault="006C40F7" w:rsidP="00E7355A">
      <w:r>
        <w:separator/>
      </w:r>
    </w:p>
  </w:endnote>
  <w:endnote w:type="continuationSeparator" w:id="1">
    <w:p w:rsidR="006C40F7" w:rsidRDefault="006C40F7" w:rsidP="00E73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361" w:rsidRDefault="006C40F7" w:rsidP="00DE4FB2">
    <w:pPr>
      <w:framePr w:wrap="around" w:vAnchor="text" w:hAnchor="margin" w:xAlign="outside"/>
      <w:widowControl/>
      <w:pBdr>
        <w:between w:val="none" w:sz="50" w:space="0" w:color="auto"/>
      </w:pBdr>
      <w:ind w:leftChars="100" w:left="300" w:right="315"/>
      <w:jc w:val="left"/>
      <w:textAlignment w:val="baseline"/>
      <w:rPr>
        <w:sz w:val="28"/>
      </w:rPr>
    </w:pPr>
    <w:r>
      <w:rPr>
        <w:rStyle w:val="a5"/>
        <w:rFonts w:ascii="楷体_GB2312" w:eastAsia="楷体_GB2312" w:hint="eastAsia"/>
        <w:spacing w:val="36"/>
        <w:sz w:val="28"/>
      </w:rPr>
      <w:t>—</w:t>
    </w:r>
    <w:r>
      <w:rPr>
        <w:rFonts w:eastAsia="楷体_GB2312"/>
        <w:spacing w:val="36"/>
        <w:kern w:val="11"/>
      </w:rPr>
      <w:fldChar w:fldCharType="begin"/>
    </w:r>
    <w:r>
      <w:rPr>
        <w:rStyle w:val="a5"/>
        <w:rFonts w:eastAsia="楷体_GB2312"/>
        <w:spacing w:val="36"/>
        <w:kern w:val="11"/>
      </w:rPr>
      <w:instrText xml:space="preserve"> PAGE  \* MERGEFORMAT </w:instrText>
    </w:r>
    <w:r>
      <w:rPr>
        <w:rFonts w:eastAsia="楷体_GB2312"/>
        <w:spacing w:val="36"/>
        <w:kern w:val="11"/>
      </w:rPr>
      <w:fldChar w:fldCharType="separate"/>
    </w:r>
    <w:r w:rsidR="000C4305">
      <w:rPr>
        <w:rStyle w:val="a5"/>
        <w:rFonts w:eastAsia="楷体_GB2312"/>
        <w:noProof/>
        <w:spacing w:val="36"/>
        <w:kern w:val="11"/>
      </w:rPr>
      <w:t>2</w:t>
    </w:r>
    <w:r>
      <w:rPr>
        <w:rFonts w:eastAsia="楷体_GB2312"/>
        <w:spacing w:val="36"/>
        <w:kern w:val="11"/>
      </w:rPr>
      <w:fldChar w:fldCharType="end"/>
    </w:r>
    <w:r>
      <w:rPr>
        <w:rStyle w:val="a5"/>
        <w:rFonts w:ascii="楷体_GB2312" w:eastAsia="楷体_GB2312" w:hint="eastAsia"/>
        <w:spacing w:val="36"/>
        <w:sz w:val="28"/>
      </w:rPr>
      <w:t>—</w:t>
    </w:r>
  </w:p>
  <w:p w:rsidR="000C2361" w:rsidRDefault="006C40F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0F7" w:rsidRDefault="006C40F7" w:rsidP="00E7355A">
      <w:r>
        <w:separator/>
      </w:r>
    </w:p>
  </w:footnote>
  <w:footnote w:type="continuationSeparator" w:id="1">
    <w:p w:rsidR="006C40F7" w:rsidRDefault="006C40F7" w:rsidP="00E73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55A"/>
    <w:rsid w:val="000C4305"/>
    <w:rsid w:val="006C40F7"/>
    <w:rsid w:val="00E7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355A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55A"/>
    <w:rPr>
      <w:sz w:val="18"/>
      <w:szCs w:val="18"/>
    </w:rPr>
  </w:style>
  <w:style w:type="paragraph" w:styleId="a4">
    <w:name w:val="footer"/>
    <w:basedOn w:val="a"/>
    <w:link w:val="Char0"/>
    <w:unhideWhenUsed/>
    <w:rsid w:val="00E73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7355A"/>
    <w:rPr>
      <w:sz w:val="18"/>
      <w:szCs w:val="18"/>
    </w:rPr>
  </w:style>
  <w:style w:type="character" w:styleId="a5">
    <w:name w:val="page number"/>
    <w:basedOn w:val="a0"/>
    <w:rsid w:val="00E73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施丽娟</dc:creator>
  <cp:keywords/>
  <dc:description/>
  <cp:lastModifiedBy>施丽娟</cp:lastModifiedBy>
  <cp:revision>3</cp:revision>
  <dcterms:created xsi:type="dcterms:W3CDTF">2018-10-15T07:01:00Z</dcterms:created>
  <dcterms:modified xsi:type="dcterms:W3CDTF">2018-10-15T07:02:00Z</dcterms:modified>
</cp:coreProperties>
</file>