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</w:t>
      </w:r>
      <w:r>
        <w:rPr>
          <w:rFonts w:ascii="黑体" w:hAnsi="黑体" w:eastAsia="黑体"/>
          <w:sz w:val="36"/>
          <w:szCs w:val="36"/>
        </w:rPr>
        <w:t>8</w:t>
      </w:r>
      <w:r>
        <w:rPr>
          <w:rFonts w:hint="eastAsia" w:ascii="黑体" w:hAnsi="黑体" w:eastAsia="黑体"/>
          <w:sz w:val="36"/>
          <w:szCs w:val="36"/>
        </w:rPr>
        <w:t>月长三角地区货币信贷运行情况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一、人民币贷款增加1108亿元，外币贷款增加20亿美元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Ansi="华文仿宋"/>
          <w:sz w:val="32"/>
          <w:szCs w:val="32"/>
          <w:highlight w:val="yellow"/>
        </w:rPr>
      </w:pPr>
      <w:r>
        <w:rPr>
          <w:rFonts w:hAnsi="华文仿宋"/>
          <w:sz w:val="32"/>
          <w:szCs w:val="32"/>
        </w:rPr>
        <w:t>8</w:t>
      </w:r>
      <w:r>
        <w:rPr>
          <w:rFonts w:hint="eastAsia" w:hAnsi="华文仿宋"/>
          <w:sz w:val="32"/>
          <w:szCs w:val="32"/>
        </w:rPr>
        <w:t>月末，长三角地区本外币各项贷款</w:t>
      </w:r>
      <w:r>
        <w:rPr>
          <w:rStyle w:val="10"/>
          <w:rFonts w:hAnsi="华文仿宋"/>
          <w:sz w:val="32"/>
          <w:szCs w:val="32"/>
        </w:rPr>
        <w:footnoteReference w:id="0"/>
      </w:r>
      <w:r>
        <w:rPr>
          <w:rFonts w:hint="eastAsia" w:hAnsi="华文仿宋"/>
          <w:sz w:val="32"/>
          <w:szCs w:val="32"/>
        </w:rPr>
        <w:t>余额75.</w:t>
      </w:r>
      <w:r>
        <w:rPr>
          <w:rFonts w:hAnsi="华文仿宋"/>
          <w:sz w:val="32"/>
          <w:szCs w:val="32"/>
        </w:rPr>
        <w:t>43</w:t>
      </w:r>
      <w:r>
        <w:rPr>
          <w:rFonts w:hint="eastAsia" w:hAnsi="华文仿宋"/>
          <w:sz w:val="32"/>
          <w:szCs w:val="32"/>
        </w:rPr>
        <w:t>万亿元，同比增长</w:t>
      </w:r>
      <w:r>
        <w:rPr>
          <w:rFonts w:hAnsi="华文仿宋"/>
          <w:sz w:val="32"/>
          <w:szCs w:val="32"/>
        </w:rPr>
        <w:t>8.7</w:t>
      </w:r>
      <w:r>
        <w:rPr>
          <w:rFonts w:hint="eastAsia" w:hAnsi="华文仿宋"/>
          <w:sz w:val="32"/>
          <w:szCs w:val="32"/>
        </w:rPr>
        <w:t>%，增速较上月末低0.</w:t>
      </w:r>
      <w:r>
        <w:rPr>
          <w:rFonts w:hAnsi="华文仿宋"/>
          <w:sz w:val="32"/>
          <w:szCs w:val="32"/>
        </w:rPr>
        <w:t>3</w:t>
      </w:r>
      <w:r>
        <w:rPr>
          <w:rFonts w:hint="eastAsia" w:hAnsi="华文仿宋"/>
          <w:sz w:val="32"/>
          <w:szCs w:val="32"/>
        </w:rPr>
        <w:t>个百分点；</w:t>
      </w:r>
      <w:r>
        <w:rPr>
          <w:rFonts w:hint="eastAsia"/>
          <w:sz w:val="32"/>
          <w:szCs w:val="32"/>
        </w:rPr>
        <w:t>人民币贷款余额</w:t>
      </w:r>
      <w:r>
        <w:rPr>
          <w:sz w:val="32"/>
          <w:szCs w:val="32"/>
        </w:rPr>
        <w:t>74.56</w:t>
      </w:r>
      <w:r>
        <w:rPr>
          <w:rFonts w:hint="eastAsia"/>
          <w:sz w:val="32"/>
          <w:szCs w:val="32"/>
        </w:rPr>
        <w:t>万亿元，同比增长</w:t>
      </w:r>
      <w:r>
        <w:rPr>
          <w:sz w:val="32"/>
          <w:szCs w:val="32"/>
        </w:rPr>
        <w:t>8.9</w:t>
      </w:r>
      <w:r>
        <w:rPr>
          <w:rFonts w:hint="eastAsia"/>
          <w:sz w:val="32"/>
          <w:szCs w:val="32"/>
        </w:rPr>
        <w:t>%，</w:t>
      </w:r>
      <w:r>
        <w:rPr>
          <w:rFonts w:hint="eastAsia" w:hAnsi="华文仿宋"/>
          <w:sz w:val="32"/>
          <w:szCs w:val="32"/>
        </w:rPr>
        <w:t>增速比上月末低0.</w:t>
      </w:r>
      <w:r>
        <w:rPr>
          <w:rFonts w:hAnsi="华文仿宋"/>
          <w:sz w:val="32"/>
          <w:szCs w:val="32"/>
        </w:rPr>
        <w:t>4</w:t>
      </w:r>
      <w:r>
        <w:rPr>
          <w:rFonts w:hint="eastAsia" w:hAnsi="华文仿宋"/>
          <w:sz w:val="32"/>
          <w:szCs w:val="32"/>
        </w:rPr>
        <w:t>个百分点；</w:t>
      </w:r>
      <w:r>
        <w:rPr>
          <w:rFonts w:hint="eastAsia"/>
          <w:sz w:val="32"/>
          <w:szCs w:val="32"/>
        </w:rPr>
        <w:t>外币贷款余额12</w:t>
      </w:r>
      <w:r>
        <w:rPr>
          <w:sz w:val="32"/>
          <w:szCs w:val="32"/>
        </w:rPr>
        <w:t>24</w:t>
      </w:r>
      <w:r>
        <w:rPr>
          <w:rFonts w:hint="eastAsia"/>
          <w:sz w:val="32"/>
          <w:szCs w:val="32"/>
        </w:rPr>
        <w:t>亿美元，同比下降</w:t>
      </w:r>
      <w:r>
        <w:rPr>
          <w:sz w:val="32"/>
          <w:szCs w:val="32"/>
        </w:rPr>
        <w:t>6.3</w:t>
      </w:r>
      <w:r>
        <w:rPr>
          <w:rFonts w:hint="eastAsia"/>
          <w:sz w:val="32"/>
          <w:szCs w:val="32"/>
        </w:rPr>
        <w:t>%，增速</w:t>
      </w:r>
      <w:r>
        <w:rPr>
          <w:rFonts w:hint="eastAsia" w:hAnsi="华文仿宋"/>
          <w:sz w:val="32"/>
          <w:szCs w:val="32"/>
        </w:rPr>
        <w:t>比上月末高</w:t>
      </w:r>
      <w:r>
        <w:rPr>
          <w:rFonts w:hAnsi="华文仿宋"/>
          <w:sz w:val="32"/>
          <w:szCs w:val="32"/>
        </w:rPr>
        <w:t>4.1</w:t>
      </w:r>
      <w:r>
        <w:rPr>
          <w:rFonts w:hint="eastAsia" w:hAnsi="华文仿宋"/>
          <w:sz w:val="32"/>
          <w:szCs w:val="32"/>
        </w:rPr>
        <w:t>个百分点</w:t>
      </w:r>
      <w:r>
        <w:rPr>
          <w:rFonts w:hint="eastAsia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月份，长三角地区人民币贷款增加1108亿元，同比少增2536亿元。分部门看，住户部门贷款增加23亿元，同比少增696亿元，其中，</w:t>
      </w:r>
      <w:r>
        <w:rPr>
          <w:rFonts w:hint="eastAsia" w:hAnsi="华文仿宋"/>
          <w:sz w:val="32"/>
          <w:szCs w:val="32"/>
        </w:rPr>
        <w:t>短期贷款减少</w:t>
      </w:r>
      <w:r>
        <w:rPr>
          <w:sz w:val="32"/>
          <w:szCs w:val="32"/>
        </w:rPr>
        <w:t>24</w:t>
      </w:r>
      <w:r>
        <w:rPr>
          <w:rFonts w:hint="eastAsia"/>
          <w:sz w:val="32"/>
          <w:szCs w:val="32"/>
        </w:rPr>
        <w:t>亿元，中长期贷款增加46亿元；企（事）业单位贷款增加1200亿元，同比少增1612亿元，其中，短期贷款增加305亿元，中长期贷款增加1130亿元，票据融资减少247亿元；非银行业金融机构贷款减少1</w:t>
      </w:r>
      <w:r>
        <w:rPr>
          <w:sz w:val="32"/>
          <w:szCs w:val="32"/>
        </w:rPr>
        <w:t>48</w:t>
      </w:r>
      <w:r>
        <w:rPr>
          <w:rFonts w:hint="eastAsia"/>
          <w:sz w:val="32"/>
          <w:szCs w:val="32"/>
        </w:rPr>
        <w:t>亿元，同比多减130亿元。外币贷款增加20亿美元，同比多增58亿美元。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二、人民币存款增加4891亿元，外币存款增加48亿美元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Ansi="华文仿宋"/>
          <w:sz w:val="32"/>
          <w:szCs w:val="32"/>
        </w:rPr>
      </w:pPr>
      <w:r>
        <w:rPr>
          <w:rFonts w:hAnsi="华文仿宋"/>
          <w:sz w:val="32"/>
          <w:szCs w:val="32"/>
        </w:rPr>
        <w:t>8</w:t>
      </w:r>
      <w:r>
        <w:rPr>
          <w:rFonts w:hint="eastAsia" w:hAnsi="华文仿宋"/>
          <w:sz w:val="32"/>
          <w:szCs w:val="32"/>
        </w:rPr>
        <w:t>月末，长三角地区本外币各项存款余额</w:t>
      </w:r>
      <w:r>
        <w:rPr>
          <w:rFonts w:hAnsi="华文仿宋"/>
          <w:sz w:val="32"/>
          <w:szCs w:val="32"/>
        </w:rPr>
        <w:t>85.11</w:t>
      </w:r>
      <w:r>
        <w:rPr>
          <w:rFonts w:hint="eastAsia" w:hAnsi="华文仿宋"/>
          <w:sz w:val="32"/>
          <w:szCs w:val="32"/>
        </w:rPr>
        <w:t>万亿元，同比增长8.</w:t>
      </w:r>
      <w:r>
        <w:rPr>
          <w:rFonts w:hAnsi="华文仿宋"/>
          <w:sz w:val="32"/>
          <w:szCs w:val="32"/>
        </w:rPr>
        <w:t>7</w:t>
      </w:r>
      <w:r>
        <w:rPr>
          <w:rFonts w:hint="eastAsia" w:hAnsi="华文仿宋"/>
          <w:sz w:val="32"/>
          <w:szCs w:val="32"/>
        </w:rPr>
        <w:t>%，增速较上月末高0.</w:t>
      </w:r>
      <w:r>
        <w:rPr>
          <w:rFonts w:hAnsi="华文仿宋"/>
          <w:sz w:val="32"/>
          <w:szCs w:val="32"/>
        </w:rPr>
        <w:t>2</w:t>
      </w:r>
      <w:r>
        <w:rPr>
          <w:rFonts w:hint="eastAsia" w:hAnsi="华文仿宋"/>
          <w:sz w:val="32"/>
          <w:szCs w:val="32"/>
        </w:rPr>
        <w:t>个百分点；</w:t>
      </w:r>
      <w:r>
        <w:rPr>
          <w:rFonts w:hint="eastAsia"/>
          <w:sz w:val="32"/>
          <w:szCs w:val="32"/>
        </w:rPr>
        <w:t>人民币存款余额8</w:t>
      </w:r>
      <w:r>
        <w:rPr>
          <w:sz w:val="32"/>
          <w:szCs w:val="32"/>
        </w:rPr>
        <w:t>2.3</w:t>
      </w:r>
      <w:r>
        <w:rPr>
          <w:rFonts w:hint="eastAsia"/>
          <w:sz w:val="32"/>
          <w:szCs w:val="32"/>
        </w:rPr>
        <w:t>万亿元，同比增长8.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%</w:t>
      </w:r>
      <w:r>
        <w:rPr>
          <w:rFonts w:hint="eastAsia" w:hAnsi="华文仿宋"/>
          <w:sz w:val="32"/>
          <w:szCs w:val="32"/>
        </w:rPr>
        <w:t>，增速较上月末高0.3个百分点；</w:t>
      </w:r>
      <w:r>
        <w:rPr>
          <w:rFonts w:hint="eastAsia"/>
          <w:sz w:val="32"/>
          <w:szCs w:val="32"/>
        </w:rPr>
        <w:t>外币存款余额39</w:t>
      </w:r>
      <w:r>
        <w:rPr>
          <w:sz w:val="32"/>
          <w:szCs w:val="32"/>
        </w:rPr>
        <w:t>64</w:t>
      </w:r>
      <w:r>
        <w:rPr>
          <w:rFonts w:hint="eastAsia"/>
          <w:sz w:val="32"/>
          <w:szCs w:val="32"/>
        </w:rPr>
        <w:t>亿美元，同比增长1</w:t>
      </w:r>
      <w:r>
        <w:rPr>
          <w:sz w:val="32"/>
          <w:szCs w:val="32"/>
        </w:rPr>
        <w:t>5.1</w:t>
      </w:r>
      <w:r>
        <w:rPr>
          <w:rFonts w:hint="eastAsia"/>
          <w:sz w:val="32"/>
          <w:szCs w:val="32"/>
        </w:rPr>
        <w:t>%，增速比上月末低1.5个百分点。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月份，长三角地区人民币存款增加4891亿元，同比多增1932亿元。其中，住户部门存款增加236亿元，同比少增1540亿元；非金融企业存款增加213亿元，同比多增190亿元；财政性存款减少52亿元，同比多减809亿元；非银行业金融机构存款增加</w:t>
      </w:r>
      <w:r>
        <w:rPr>
          <w:sz w:val="32"/>
          <w:szCs w:val="32"/>
        </w:rPr>
        <w:t>3601</w:t>
      </w:r>
      <w:r>
        <w:rPr>
          <w:rFonts w:hint="eastAsia"/>
          <w:sz w:val="32"/>
          <w:szCs w:val="32"/>
        </w:rPr>
        <w:t>亿元，同比多增</w:t>
      </w:r>
      <w:r>
        <w:rPr>
          <w:sz w:val="32"/>
          <w:szCs w:val="32"/>
        </w:rPr>
        <w:t>3079</w:t>
      </w:r>
      <w:r>
        <w:rPr>
          <w:rFonts w:hint="eastAsia"/>
          <w:sz w:val="32"/>
          <w:szCs w:val="32"/>
        </w:rPr>
        <w:t>亿元。外币存款增加48亿美元，同比少增38亿美元。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</w:pPr>
      <w:r>
        <w:rPr>
          <w:rStyle w:val="10"/>
        </w:rPr>
        <w:footnoteRef/>
      </w:r>
      <w:r>
        <w:rPr>
          <w:rFonts w:hint="eastAsia"/>
        </w:rPr>
        <w:t xml:space="preserve"> 本外币、人民币和外币存款含非银行业金融机构存放款项，本外币、人民币和外币贷款含拆放给非银行业金融机构的款项；所有数据为上海市、江苏省、浙江省和安徽省的汇总数。</w:t>
      </w:r>
    </w:p>
    <w:p>
      <w:pPr>
        <w:pStyle w:val="7"/>
      </w:pPr>
      <w:r>
        <w:rPr>
          <w:rStyle w:val="10"/>
          <w:rFonts w:hint="eastAsia"/>
        </w:rPr>
        <w:t xml:space="preserve">2 </w:t>
      </w:r>
      <w:r>
        <w:rPr>
          <w:rFonts w:hint="eastAsia"/>
        </w:rPr>
        <w:t>部分数据因四舍五入，存在总计与分项合计不等的情况。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2F8"/>
    <w:rsid w:val="000003C9"/>
    <w:rsid w:val="0000133A"/>
    <w:rsid w:val="000045F8"/>
    <w:rsid w:val="000049A5"/>
    <w:rsid w:val="000150E0"/>
    <w:rsid w:val="00022E98"/>
    <w:rsid w:val="00031586"/>
    <w:rsid w:val="00035928"/>
    <w:rsid w:val="0004131A"/>
    <w:rsid w:val="00043E2D"/>
    <w:rsid w:val="000456D5"/>
    <w:rsid w:val="000477B5"/>
    <w:rsid w:val="000505AD"/>
    <w:rsid w:val="0005252D"/>
    <w:rsid w:val="000527CF"/>
    <w:rsid w:val="00052A79"/>
    <w:rsid w:val="00056987"/>
    <w:rsid w:val="00062908"/>
    <w:rsid w:val="00063555"/>
    <w:rsid w:val="00063774"/>
    <w:rsid w:val="0006433A"/>
    <w:rsid w:val="00065CEF"/>
    <w:rsid w:val="000676C4"/>
    <w:rsid w:val="0007787D"/>
    <w:rsid w:val="00077A13"/>
    <w:rsid w:val="00083BFE"/>
    <w:rsid w:val="00085019"/>
    <w:rsid w:val="00085C9E"/>
    <w:rsid w:val="000872F3"/>
    <w:rsid w:val="00087FB7"/>
    <w:rsid w:val="00091FB9"/>
    <w:rsid w:val="000962F4"/>
    <w:rsid w:val="000A39C2"/>
    <w:rsid w:val="000A5A44"/>
    <w:rsid w:val="000A72F1"/>
    <w:rsid w:val="000A7C8B"/>
    <w:rsid w:val="000B56B2"/>
    <w:rsid w:val="000C125D"/>
    <w:rsid w:val="000C2C59"/>
    <w:rsid w:val="000C3C5B"/>
    <w:rsid w:val="000C468B"/>
    <w:rsid w:val="000C47B9"/>
    <w:rsid w:val="000C5558"/>
    <w:rsid w:val="000C7D67"/>
    <w:rsid w:val="000C7E53"/>
    <w:rsid w:val="000D2A86"/>
    <w:rsid w:val="000D7047"/>
    <w:rsid w:val="000E0923"/>
    <w:rsid w:val="000E2CB1"/>
    <w:rsid w:val="000E6249"/>
    <w:rsid w:val="000E76D6"/>
    <w:rsid w:val="000F4188"/>
    <w:rsid w:val="00105F7C"/>
    <w:rsid w:val="00110356"/>
    <w:rsid w:val="001122EF"/>
    <w:rsid w:val="00115317"/>
    <w:rsid w:val="001216C2"/>
    <w:rsid w:val="00132843"/>
    <w:rsid w:val="00133142"/>
    <w:rsid w:val="00136294"/>
    <w:rsid w:val="00137214"/>
    <w:rsid w:val="0014010C"/>
    <w:rsid w:val="00141133"/>
    <w:rsid w:val="001514E8"/>
    <w:rsid w:val="0015710B"/>
    <w:rsid w:val="00161FC5"/>
    <w:rsid w:val="001641B5"/>
    <w:rsid w:val="00166698"/>
    <w:rsid w:val="00173FB5"/>
    <w:rsid w:val="00182D8B"/>
    <w:rsid w:val="0018582D"/>
    <w:rsid w:val="00185868"/>
    <w:rsid w:val="00192DE7"/>
    <w:rsid w:val="001940BC"/>
    <w:rsid w:val="001959C6"/>
    <w:rsid w:val="001A09B6"/>
    <w:rsid w:val="001A1CE6"/>
    <w:rsid w:val="001A1F76"/>
    <w:rsid w:val="001B568D"/>
    <w:rsid w:val="001B7931"/>
    <w:rsid w:val="001C04BF"/>
    <w:rsid w:val="001E19F9"/>
    <w:rsid w:val="001E7633"/>
    <w:rsid w:val="001E76B8"/>
    <w:rsid w:val="001F1E1B"/>
    <w:rsid w:val="001F1E8C"/>
    <w:rsid w:val="001F3C7E"/>
    <w:rsid w:val="001F47AE"/>
    <w:rsid w:val="001F5AEE"/>
    <w:rsid w:val="002017E6"/>
    <w:rsid w:val="00202F6B"/>
    <w:rsid w:val="002047CA"/>
    <w:rsid w:val="00204DE0"/>
    <w:rsid w:val="00214D5B"/>
    <w:rsid w:val="0021794A"/>
    <w:rsid w:val="0022324B"/>
    <w:rsid w:val="00230B7F"/>
    <w:rsid w:val="0023233E"/>
    <w:rsid w:val="002329C4"/>
    <w:rsid w:val="0023533B"/>
    <w:rsid w:val="00236997"/>
    <w:rsid w:val="002369B8"/>
    <w:rsid w:val="002405DC"/>
    <w:rsid w:val="00243ED2"/>
    <w:rsid w:val="00244472"/>
    <w:rsid w:val="00245A88"/>
    <w:rsid w:val="002531B9"/>
    <w:rsid w:val="00254BD9"/>
    <w:rsid w:val="00254EE1"/>
    <w:rsid w:val="00257C7D"/>
    <w:rsid w:val="002619A8"/>
    <w:rsid w:val="00262A26"/>
    <w:rsid w:val="00266304"/>
    <w:rsid w:val="00267A99"/>
    <w:rsid w:val="00272811"/>
    <w:rsid w:val="00274D3A"/>
    <w:rsid w:val="002760D7"/>
    <w:rsid w:val="002815EE"/>
    <w:rsid w:val="00281757"/>
    <w:rsid w:val="00285D6E"/>
    <w:rsid w:val="00286542"/>
    <w:rsid w:val="002865C9"/>
    <w:rsid w:val="002900E0"/>
    <w:rsid w:val="00294F65"/>
    <w:rsid w:val="00296E91"/>
    <w:rsid w:val="00296FA5"/>
    <w:rsid w:val="002A237F"/>
    <w:rsid w:val="002A2E46"/>
    <w:rsid w:val="002A43CE"/>
    <w:rsid w:val="002A4D2D"/>
    <w:rsid w:val="002A5880"/>
    <w:rsid w:val="002A6077"/>
    <w:rsid w:val="002A6EEC"/>
    <w:rsid w:val="002B405F"/>
    <w:rsid w:val="002B6E7D"/>
    <w:rsid w:val="002C0740"/>
    <w:rsid w:val="002C1CD5"/>
    <w:rsid w:val="002C46F4"/>
    <w:rsid w:val="002C4A33"/>
    <w:rsid w:val="002C71C5"/>
    <w:rsid w:val="002D4EF1"/>
    <w:rsid w:val="002D504D"/>
    <w:rsid w:val="002D5A29"/>
    <w:rsid w:val="002E0EEB"/>
    <w:rsid w:val="002E24B2"/>
    <w:rsid w:val="002E355C"/>
    <w:rsid w:val="002E4E26"/>
    <w:rsid w:val="002E7117"/>
    <w:rsid w:val="002F5AF1"/>
    <w:rsid w:val="00300686"/>
    <w:rsid w:val="0030149A"/>
    <w:rsid w:val="00302F4C"/>
    <w:rsid w:val="00310780"/>
    <w:rsid w:val="003120A7"/>
    <w:rsid w:val="003152F8"/>
    <w:rsid w:val="00323A8F"/>
    <w:rsid w:val="00331A4E"/>
    <w:rsid w:val="00334804"/>
    <w:rsid w:val="00336801"/>
    <w:rsid w:val="00337480"/>
    <w:rsid w:val="003418AE"/>
    <w:rsid w:val="003470AB"/>
    <w:rsid w:val="00347678"/>
    <w:rsid w:val="00350B8B"/>
    <w:rsid w:val="00352CC1"/>
    <w:rsid w:val="003555DD"/>
    <w:rsid w:val="003569BC"/>
    <w:rsid w:val="00365C0A"/>
    <w:rsid w:val="00375700"/>
    <w:rsid w:val="00380291"/>
    <w:rsid w:val="003811FA"/>
    <w:rsid w:val="00383E38"/>
    <w:rsid w:val="0038618A"/>
    <w:rsid w:val="003934FE"/>
    <w:rsid w:val="00393783"/>
    <w:rsid w:val="00395036"/>
    <w:rsid w:val="00396E62"/>
    <w:rsid w:val="003A5507"/>
    <w:rsid w:val="003A7B45"/>
    <w:rsid w:val="003B02F2"/>
    <w:rsid w:val="003B1EC8"/>
    <w:rsid w:val="003C05CD"/>
    <w:rsid w:val="003C07BD"/>
    <w:rsid w:val="003C2F06"/>
    <w:rsid w:val="003C6DE0"/>
    <w:rsid w:val="003C6E4C"/>
    <w:rsid w:val="003C76C2"/>
    <w:rsid w:val="003D474F"/>
    <w:rsid w:val="003D5758"/>
    <w:rsid w:val="003E0599"/>
    <w:rsid w:val="003E292B"/>
    <w:rsid w:val="003E4358"/>
    <w:rsid w:val="003E4D21"/>
    <w:rsid w:val="003E63F1"/>
    <w:rsid w:val="003F039E"/>
    <w:rsid w:val="003F03E0"/>
    <w:rsid w:val="003F36BD"/>
    <w:rsid w:val="003F54C8"/>
    <w:rsid w:val="003F5542"/>
    <w:rsid w:val="004002F2"/>
    <w:rsid w:val="00402AFC"/>
    <w:rsid w:val="00405611"/>
    <w:rsid w:val="00411B73"/>
    <w:rsid w:val="00414D83"/>
    <w:rsid w:val="004159E0"/>
    <w:rsid w:val="00425162"/>
    <w:rsid w:val="00426886"/>
    <w:rsid w:val="004312F8"/>
    <w:rsid w:val="00435F1F"/>
    <w:rsid w:val="004377E7"/>
    <w:rsid w:val="00437960"/>
    <w:rsid w:val="00440CA6"/>
    <w:rsid w:val="00443A3A"/>
    <w:rsid w:val="00443BCB"/>
    <w:rsid w:val="00444900"/>
    <w:rsid w:val="0044663E"/>
    <w:rsid w:val="00450795"/>
    <w:rsid w:val="00451500"/>
    <w:rsid w:val="004544A4"/>
    <w:rsid w:val="004572E8"/>
    <w:rsid w:val="00460BA3"/>
    <w:rsid w:val="0046152A"/>
    <w:rsid w:val="00461ED7"/>
    <w:rsid w:val="004633F6"/>
    <w:rsid w:val="00463BFE"/>
    <w:rsid w:val="00474D11"/>
    <w:rsid w:val="00475AF2"/>
    <w:rsid w:val="00476DEC"/>
    <w:rsid w:val="00476E24"/>
    <w:rsid w:val="00480505"/>
    <w:rsid w:val="00481931"/>
    <w:rsid w:val="0048487A"/>
    <w:rsid w:val="004875FF"/>
    <w:rsid w:val="00494A1E"/>
    <w:rsid w:val="004961AB"/>
    <w:rsid w:val="004A006A"/>
    <w:rsid w:val="004A0A87"/>
    <w:rsid w:val="004A0AD4"/>
    <w:rsid w:val="004A3B07"/>
    <w:rsid w:val="004A75FD"/>
    <w:rsid w:val="004B49E9"/>
    <w:rsid w:val="004B7360"/>
    <w:rsid w:val="004C18B8"/>
    <w:rsid w:val="004C5E45"/>
    <w:rsid w:val="004C745E"/>
    <w:rsid w:val="004C7A11"/>
    <w:rsid w:val="004D290B"/>
    <w:rsid w:val="004D42F8"/>
    <w:rsid w:val="004E0C0B"/>
    <w:rsid w:val="004E26D1"/>
    <w:rsid w:val="004E699B"/>
    <w:rsid w:val="004F0CE2"/>
    <w:rsid w:val="004F3A65"/>
    <w:rsid w:val="004F4553"/>
    <w:rsid w:val="004F5AF1"/>
    <w:rsid w:val="004F6B37"/>
    <w:rsid w:val="00500381"/>
    <w:rsid w:val="0050684E"/>
    <w:rsid w:val="00507769"/>
    <w:rsid w:val="00510701"/>
    <w:rsid w:val="0051097D"/>
    <w:rsid w:val="005110D2"/>
    <w:rsid w:val="00520176"/>
    <w:rsid w:val="00521197"/>
    <w:rsid w:val="00522B1C"/>
    <w:rsid w:val="005262A9"/>
    <w:rsid w:val="00531447"/>
    <w:rsid w:val="0053336B"/>
    <w:rsid w:val="00540A97"/>
    <w:rsid w:val="005426E8"/>
    <w:rsid w:val="00542BE0"/>
    <w:rsid w:val="0054364B"/>
    <w:rsid w:val="00543BDA"/>
    <w:rsid w:val="00543CF6"/>
    <w:rsid w:val="00546B00"/>
    <w:rsid w:val="00550102"/>
    <w:rsid w:val="00550D81"/>
    <w:rsid w:val="005515BC"/>
    <w:rsid w:val="00553F9F"/>
    <w:rsid w:val="00555BCF"/>
    <w:rsid w:val="00561659"/>
    <w:rsid w:val="00562371"/>
    <w:rsid w:val="00563EDE"/>
    <w:rsid w:val="00565473"/>
    <w:rsid w:val="005729C8"/>
    <w:rsid w:val="00577339"/>
    <w:rsid w:val="00580FD3"/>
    <w:rsid w:val="00581B0D"/>
    <w:rsid w:val="00581E50"/>
    <w:rsid w:val="005865AC"/>
    <w:rsid w:val="00586FB3"/>
    <w:rsid w:val="00587175"/>
    <w:rsid w:val="00587FE5"/>
    <w:rsid w:val="005963B5"/>
    <w:rsid w:val="005A4084"/>
    <w:rsid w:val="005A7C0C"/>
    <w:rsid w:val="005C0950"/>
    <w:rsid w:val="005C531F"/>
    <w:rsid w:val="005C6790"/>
    <w:rsid w:val="005C6C11"/>
    <w:rsid w:val="005D2E7A"/>
    <w:rsid w:val="005D480B"/>
    <w:rsid w:val="005D5929"/>
    <w:rsid w:val="005D6BD1"/>
    <w:rsid w:val="005E23DF"/>
    <w:rsid w:val="005E2B9C"/>
    <w:rsid w:val="005E41E9"/>
    <w:rsid w:val="005E6C60"/>
    <w:rsid w:val="005E7A91"/>
    <w:rsid w:val="00601E4B"/>
    <w:rsid w:val="00606957"/>
    <w:rsid w:val="00610975"/>
    <w:rsid w:val="00612F3F"/>
    <w:rsid w:val="00613670"/>
    <w:rsid w:val="00613E12"/>
    <w:rsid w:val="00620EA1"/>
    <w:rsid w:val="0062486F"/>
    <w:rsid w:val="00626FB4"/>
    <w:rsid w:val="006306F8"/>
    <w:rsid w:val="006320E8"/>
    <w:rsid w:val="00635231"/>
    <w:rsid w:val="00637C6F"/>
    <w:rsid w:val="00643BD1"/>
    <w:rsid w:val="00644855"/>
    <w:rsid w:val="00644C8F"/>
    <w:rsid w:val="00644F56"/>
    <w:rsid w:val="00645F13"/>
    <w:rsid w:val="0064781A"/>
    <w:rsid w:val="0065044E"/>
    <w:rsid w:val="006521B1"/>
    <w:rsid w:val="006543D1"/>
    <w:rsid w:val="006625EF"/>
    <w:rsid w:val="00667BC4"/>
    <w:rsid w:val="00673E26"/>
    <w:rsid w:val="00674CDD"/>
    <w:rsid w:val="00674DA2"/>
    <w:rsid w:val="00675AE7"/>
    <w:rsid w:val="00675DD2"/>
    <w:rsid w:val="00675E42"/>
    <w:rsid w:val="00676BDB"/>
    <w:rsid w:val="00677570"/>
    <w:rsid w:val="00693334"/>
    <w:rsid w:val="006A0981"/>
    <w:rsid w:val="006A6DD2"/>
    <w:rsid w:val="006B1933"/>
    <w:rsid w:val="006C24E9"/>
    <w:rsid w:val="006C4F6B"/>
    <w:rsid w:val="006C58BD"/>
    <w:rsid w:val="006D28A2"/>
    <w:rsid w:val="006D31F0"/>
    <w:rsid w:val="006D3BF2"/>
    <w:rsid w:val="006D65AE"/>
    <w:rsid w:val="006D67AB"/>
    <w:rsid w:val="006E23EC"/>
    <w:rsid w:val="006E451B"/>
    <w:rsid w:val="006E7367"/>
    <w:rsid w:val="006F0BC1"/>
    <w:rsid w:val="006F5634"/>
    <w:rsid w:val="00711F0B"/>
    <w:rsid w:val="00713164"/>
    <w:rsid w:val="00717A1B"/>
    <w:rsid w:val="00723DF2"/>
    <w:rsid w:val="0073262C"/>
    <w:rsid w:val="00734084"/>
    <w:rsid w:val="00735F76"/>
    <w:rsid w:val="0074563D"/>
    <w:rsid w:val="00747754"/>
    <w:rsid w:val="0075591C"/>
    <w:rsid w:val="00760384"/>
    <w:rsid w:val="0076181F"/>
    <w:rsid w:val="00763F06"/>
    <w:rsid w:val="00764F23"/>
    <w:rsid w:val="00766D9B"/>
    <w:rsid w:val="00767203"/>
    <w:rsid w:val="00767424"/>
    <w:rsid w:val="00772CF4"/>
    <w:rsid w:val="007741F5"/>
    <w:rsid w:val="00776404"/>
    <w:rsid w:val="007779FA"/>
    <w:rsid w:val="007815AB"/>
    <w:rsid w:val="00781C81"/>
    <w:rsid w:val="00787BBA"/>
    <w:rsid w:val="007921FE"/>
    <w:rsid w:val="00794BA1"/>
    <w:rsid w:val="00797AEF"/>
    <w:rsid w:val="007A205B"/>
    <w:rsid w:val="007A4BCC"/>
    <w:rsid w:val="007A617C"/>
    <w:rsid w:val="007A6ABD"/>
    <w:rsid w:val="007A7A1B"/>
    <w:rsid w:val="007B05FD"/>
    <w:rsid w:val="007B0E4D"/>
    <w:rsid w:val="007B1539"/>
    <w:rsid w:val="007B1C79"/>
    <w:rsid w:val="007B1D4C"/>
    <w:rsid w:val="007B662B"/>
    <w:rsid w:val="007C5B2F"/>
    <w:rsid w:val="007D01DD"/>
    <w:rsid w:val="007D1291"/>
    <w:rsid w:val="007D1856"/>
    <w:rsid w:val="007E165F"/>
    <w:rsid w:val="007E6AF0"/>
    <w:rsid w:val="007E7443"/>
    <w:rsid w:val="007E7629"/>
    <w:rsid w:val="007F0F50"/>
    <w:rsid w:val="007F3526"/>
    <w:rsid w:val="007F4A4E"/>
    <w:rsid w:val="00812380"/>
    <w:rsid w:val="00820443"/>
    <w:rsid w:val="00820445"/>
    <w:rsid w:val="0082440E"/>
    <w:rsid w:val="008305B2"/>
    <w:rsid w:val="0083097B"/>
    <w:rsid w:val="00831A40"/>
    <w:rsid w:val="0083435A"/>
    <w:rsid w:val="008355B1"/>
    <w:rsid w:val="00837D12"/>
    <w:rsid w:val="00842748"/>
    <w:rsid w:val="0084567F"/>
    <w:rsid w:val="00847CBF"/>
    <w:rsid w:val="00850460"/>
    <w:rsid w:val="00850E10"/>
    <w:rsid w:val="00852E20"/>
    <w:rsid w:val="0086019D"/>
    <w:rsid w:val="00863D89"/>
    <w:rsid w:val="00870BD5"/>
    <w:rsid w:val="008729C9"/>
    <w:rsid w:val="00872C7C"/>
    <w:rsid w:val="00876544"/>
    <w:rsid w:val="00877591"/>
    <w:rsid w:val="0088093E"/>
    <w:rsid w:val="008847C2"/>
    <w:rsid w:val="00887627"/>
    <w:rsid w:val="00890472"/>
    <w:rsid w:val="00891DB2"/>
    <w:rsid w:val="00892683"/>
    <w:rsid w:val="00893272"/>
    <w:rsid w:val="0089771D"/>
    <w:rsid w:val="008A520B"/>
    <w:rsid w:val="008A59FD"/>
    <w:rsid w:val="008B58AF"/>
    <w:rsid w:val="008B5D2B"/>
    <w:rsid w:val="008B63F5"/>
    <w:rsid w:val="008C4296"/>
    <w:rsid w:val="008C66DB"/>
    <w:rsid w:val="008D2992"/>
    <w:rsid w:val="008D51C7"/>
    <w:rsid w:val="008E0B46"/>
    <w:rsid w:val="008E2F1E"/>
    <w:rsid w:val="008E2FA7"/>
    <w:rsid w:val="008E3515"/>
    <w:rsid w:val="008E7E10"/>
    <w:rsid w:val="008E7E89"/>
    <w:rsid w:val="008F69B9"/>
    <w:rsid w:val="00900319"/>
    <w:rsid w:val="00900825"/>
    <w:rsid w:val="009038CF"/>
    <w:rsid w:val="00920E3D"/>
    <w:rsid w:val="0092493C"/>
    <w:rsid w:val="00926CB4"/>
    <w:rsid w:val="009301E6"/>
    <w:rsid w:val="00930D7E"/>
    <w:rsid w:val="009311DD"/>
    <w:rsid w:val="0093284E"/>
    <w:rsid w:val="00933B8E"/>
    <w:rsid w:val="00936081"/>
    <w:rsid w:val="00937293"/>
    <w:rsid w:val="00937E18"/>
    <w:rsid w:val="0095095B"/>
    <w:rsid w:val="00950A54"/>
    <w:rsid w:val="00953642"/>
    <w:rsid w:val="00954E64"/>
    <w:rsid w:val="009550DB"/>
    <w:rsid w:val="00955DC6"/>
    <w:rsid w:val="00956580"/>
    <w:rsid w:val="009567EB"/>
    <w:rsid w:val="00962278"/>
    <w:rsid w:val="009631BF"/>
    <w:rsid w:val="00963931"/>
    <w:rsid w:val="0096655B"/>
    <w:rsid w:val="0096696F"/>
    <w:rsid w:val="009768CC"/>
    <w:rsid w:val="00977611"/>
    <w:rsid w:val="00982E23"/>
    <w:rsid w:val="00987019"/>
    <w:rsid w:val="00994ECE"/>
    <w:rsid w:val="0099673F"/>
    <w:rsid w:val="009A2687"/>
    <w:rsid w:val="009B1447"/>
    <w:rsid w:val="009B321A"/>
    <w:rsid w:val="009B6891"/>
    <w:rsid w:val="009B74E9"/>
    <w:rsid w:val="009C6C9D"/>
    <w:rsid w:val="009C7405"/>
    <w:rsid w:val="009D54F9"/>
    <w:rsid w:val="009D7972"/>
    <w:rsid w:val="009E1838"/>
    <w:rsid w:val="009E4F43"/>
    <w:rsid w:val="009F01F3"/>
    <w:rsid w:val="009F06E8"/>
    <w:rsid w:val="009F19A9"/>
    <w:rsid w:val="009F4017"/>
    <w:rsid w:val="00A01807"/>
    <w:rsid w:val="00A059FA"/>
    <w:rsid w:val="00A06C11"/>
    <w:rsid w:val="00A13C00"/>
    <w:rsid w:val="00A15F43"/>
    <w:rsid w:val="00A21980"/>
    <w:rsid w:val="00A22B70"/>
    <w:rsid w:val="00A27910"/>
    <w:rsid w:val="00A33DA7"/>
    <w:rsid w:val="00A34C80"/>
    <w:rsid w:val="00A355BE"/>
    <w:rsid w:val="00A357A0"/>
    <w:rsid w:val="00A41B5D"/>
    <w:rsid w:val="00A47104"/>
    <w:rsid w:val="00A47201"/>
    <w:rsid w:val="00A47321"/>
    <w:rsid w:val="00A4744C"/>
    <w:rsid w:val="00A512DA"/>
    <w:rsid w:val="00A52620"/>
    <w:rsid w:val="00A561D8"/>
    <w:rsid w:val="00A61CE9"/>
    <w:rsid w:val="00A625F2"/>
    <w:rsid w:val="00A64BB3"/>
    <w:rsid w:val="00A67557"/>
    <w:rsid w:val="00A70D33"/>
    <w:rsid w:val="00A74E40"/>
    <w:rsid w:val="00A833DC"/>
    <w:rsid w:val="00A836FE"/>
    <w:rsid w:val="00A87907"/>
    <w:rsid w:val="00A94B0D"/>
    <w:rsid w:val="00A9742B"/>
    <w:rsid w:val="00A9763A"/>
    <w:rsid w:val="00AA0A78"/>
    <w:rsid w:val="00AA5737"/>
    <w:rsid w:val="00AA7EAF"/>
    <w:rsid w:val="00AC0D82"/>
    <w:rsid w:val="00AC230A"/>
    <w:rsid w:val="00AC3157"/>
    <w:rsid w:val="00AC37B6"/>
    <w:rsid w:val="00AC6C07"/>
    <w:rsid w:val="00AC7B2C"/>
    <w:rsid w:val="00AD1460"/>
    <w:rsid w:val="00AD2F66"/>
    <w:rsid w:val="00AD3436"/>
    <w:rsid w:val="00AD7A80"/>
    <w:rsid w:val="00AE0395"/>
    <w:rsid w:val="00AE0C46"/>
    <w:rsid w:val="00AE6B7B"/>
    <w:rsid w:val="00AE7A66"/>
    <w:rsid w:val="00AF4C7E"/>
    <w:rsid w:val="00AF6C78"/>
    <w:rsid w:val="00B02253"/>
    <w:rsid w:val="00B02513"/>
    <w:rsid w:val="00B049D4"/>
    <w:rsid w:val="00B07441"/>
    <w:rsid w:val="00B11BC3"/>
    <w:rsid w:val="00B21204"/>
    <w:rsid w:val="00B21C92"/>
    <w:rsid w:val="00B22E69"/>
    <w:rsid w:val="00B260DA"/>
    <w:rsid w:val="00B267AC"/>
    <w:rsid w:val="00B306CF"/>
    <w:rsid w:val="00B335C6"/>
    <w:rsid w:val="00B34FED"/>
    <w:rsid w:val="00B36EFF"/>
    <w:rsid w:val="00B4041B"/>
    <w:rsid w:val="00B411FC"/>
    <w:rsid w:val="00B42689"/>
    <w:rsid w:val="00B43133"/>
    <w:rsid w:val="00B43662"/>
    <w:rsid w:val="00B43863"/>
    <w:rsid w:val="00B52196"/>
    <w:rsid w:val="00B5721E"/>
    <w:rsid w:val="00B62764"/>
    <w:rsid w:val="00B629FB"/>
    <w:rsid w:val="00B6790D"/>
    <w:rsid w:val="00B702A1"/>
    <w:rsid w:val="00B734AB"/>
    <w:rsid w:val="00B73F1D"/>
    <w:rsid w:val="00B760A2"/>
    <w:rsid w:val="00B76A09"/>
    <w:rsid w:val="00B775C8"/>
    <w:rsid w:val="00B803A6"/>
    <w:rsid w:val="00B817E4"/>
    <w:rsid w:val="00B82B69"/>
    <w:rsid w:val="00B82C0F"/>
    <w:rsid w:val="00B87E83"/>
    <w:rsid w:val="00B90C64"/>
    <w:rsid w:val="00B945CF"/>
    <w:rsid w:val="00B94804"/>
    <w:rsid w:val="00B97247"/>
    <w:rsid w:val="00BA0D94"/>
    <w:rsid w:val="00BA5789"/>
    <w:rsid w:val="00BA628A"/>
    <w:rsid w:val="00BA77D4"/>
    <w:rsid w:val="00BB1A8C"/>
    <w:rsid w:val="00BB3829"/>
    <w:rsid w:val="00BB46B4"/>
    <w:rsid w:val="00BB48A9"/>
    <w:rsid w:val="00BC4648"/>
    <w:rsid w:val="00BC5023"/>
    <w:rsid w:val="00BC775F"/>
    <w:rsid w:val="00BD0E85"/>
    <w:rsid w:val="00BD32DE"/>
    <w:rsid w:val="00BD4C9B"/>
    <w:rsid w:val="00BD5999"/>
    <w:rsid w:val="00BD688F"/>
    <w:rsid w:val="00BE0A87"/>
    <w:rsid w:val="00BE0BD7"/>
    <w:rsid w:val="00BE15C9"/>
    <w:rsid w:val="00BE1DF4"/>
    <w:rsid w:val="00BE1FD5"/>
    <w:rsid w:val="00BE557E"/>
    <w:rsid w:val="00BE7083"/>
    <w:rsid w:val="00BE71EE"/>
    <w:rsid w:val="00BF0E7E"/>
    <w:rsid w:val="00BF0F8D"/>
    <w:rsid w:val="00BF3347"/>
    <w:rsid w:val="00BF71BE"/>
    <w:rsid w:val="00C04356"/>
    <w:rsid w:val="00C1020D"/>
    <w:rsid w:val="00C14589"/>
    <w:rsid w:val="00C14801"/>
    <w:rsid w:val="00C171D3"/>
    <w:rsid w:val="00C2333C"/>
    <w:rsid w:val="00C241B2"/>
    <w:rsid w:val="00C30569"/>
    <w:rsid w:val="00C31FBF"/>
    <w:rsid w:val="00C35B4A"/>
    <w:rsid w:val="00C370AE"/>
    <w:rsid w:val="00C3741E"/>
    <w:rsid w:val="00C37773"/>
    <w:rsid w:val="00C44239"/>
    <w:rsid w:val="00C51ED1"/>
    <w:rsid w:val="00C5397B"/>
    <w:rsid w:val="00C6213E"/>
    <w:rsid w:val="00C74F07"/>
    <w:rsid w:val="00C80D9B"/>
    <w:rsid w:val="00C8422E"/>
    <w:rsid w:val="00C848CC"/>
    <w:rsid w:val="00C85B46"/>
    <w:rsid w:val="00C86EDA"/>
    <w:rsid w:val="00C86F23"/>
    <w:rsid w:val="00C9057E"/>
    <w:rsid w:val="00C92FBD"/>
    <w:rsid w:val="00C961EC"/>
    <w:rsid w:val="00CA1683"/>
    <w:rsid w:val="00CA1CF1"/>
    <w:rsid w:val="00CB0B87"/>
    <w:rsid w:val="00CB4295"/>
    <w:rsid w:val="00CB7E07"/>
    <w:rsid w:val="00CC1DF9"/>
    <w:rsid w:val="00CC4ADC"/>
    <w:rsid w:val="00CD4AE2"/>
    <w:rsid w:val="00CD5586"/>
    <w:rsid w:val="00CE098E"/>
    <w:rsid w:val="00CE19BF"/>
    <w:rsid w:val="00CE2388"/>
    <w:rsid w:val="00CE5A99"/>
    <w:rsid w:val="00CE7260"/>
    <w:rsid w:val="00CF0862"/>
    <w:rsid w:val="00D04573"/>
    <w:rsid w:val="00D14382"/>
    <w:rsid w:val="00D16850"/>
    <w:rsid w:val="00D177FC"/>
    <w:rsid w:val="00D203D3"/>
    <w:rsid w:val="00D35DC6"/>
    <w:rsid w:val="00D36E21"/>
    <w:rsid w:val="00D3779F"/>
    <w:rsid w:val="00D37CD1"/>
    <w:rsid w:val="00D37D66"/>
    <w:rsid w:val="00D400CC"/>
    <w:rsid w:val="00D4292B"/>
    <w:rsid w:val="00D45E4F"/>
    <w:rsid w:val="00D46A39"/>
    <w:rsid w:val="00D51F86"/>
    <w:rsid w:val="00D53032"/>
    <w:rsid w:val="00D625C2"/>
    <w:rsid w:val="00D65EC7"/>
    <w:rsid w:val="00D66E42"/>
    <w:rsid w:val="00D66E96"/>
    <w:rsid w:val="00D71011"/>
    <w:rsid w:val="00D73228"/>
    <w:rsid w:val="00D74F78"/>
    <w:rsid w:val="00D77AA7"/>
    <w:rsid w:val="00D87D19"/>
    <w:rsid w:val="00D92799"/>
    <w:rsid w:val="00D9374D"/>
    <w:rsid w:val="00DA019E"/>
    <w:rsid w:val="00DA0911"/>
    <w:rsid w:val="00DB200F"/>
    <w:rsid w:val="00DB59CC"/>
    <w:rsid w:val="00DB6D49"/>
    <w:rsid w:val="00DC0457"/>
    <w:rsid w:val="00DC1082"/>
    <w:rsid w:val="00DC4616"/>
    <w:rsid w:val="00DD0E7E"/>
    <w:rsid w:val="00DD0F9C"/>
    <w:rsid w:val="00DD349B"/>
    <w:rsid w:val="00DD433E"/>
    <w:rsid w:val="00DD5C94"/>
    <w:rsid w:val="00DD78F1"/>
    <w:rsid w:val="00DE0798"/>
    <w:rsid w:val="00DE1B73"/>
    <w:rsid w:val="00DE581B"/>
    <w:rsid w:val="00DE6C25"/>
    <w:rsid w:val="00DF0D76"/>
    <w:rsid w:val="00DF6E35"/>
    <w:rsid w:val="00DF70C4"/>
    <w:rsid w:val="00E0382A"/>
    <w:rsid w:val="00E123D0"/>
    <w:rsid w:val="00E13BA3"/>
    <w:rsid w:val="00E17161"/>
    <w:rsid w:val="00E21842"/>
    <w:rsid w:val="00E21E06"/>
    <w:rsid w:val="00E22A7F"/>
    <w:rsid w:val="00E2453F"/>
    <w:rsid w:val="00E32C4C"/>
    <w:rsid w:val="00E365C3"/>
    <w:rsid w:val="00E477CD"/>
    <w:rsid w:val="00E51195"/>
    <w:rsid w:val="00E5256E"/>
    <w:rsid w:val="00E53D67"/>
    <w:rsid w:val="00E54126"/>
    <w:rsid w:val="00E55589"/>
    <w:rsid w:val="00E55BDA"/>
    <w:rsid w:val="00E626AB"/>
    <w:rsid w:val="00E64B43"/>
    <w:rsid w:val="00E662DA"/>
    <w:rsid w:val="00E66C7E"/>
    <w:rsid w:val="00E732FB"/>
    <w:rsid w:val="00E745FC"/>
    <w:rsid w:val="00E76AEA"/>
    <w:rsid w:val="00E803B0"/>
    <w:rsid w:val="00E808D8"/>
    <w:rsid w:val="00E81F0E"/>
    <w:rsid w:val="00E82AC5"/>
    <w:rsid w:val="00E82F2E"/>
    <w:rsid w:val="00E839AA"/>
    <w:rsid w:val="00E84E66"/>
    <w:rsid w:val="00E85008"/>
    <w:rsid w:val="00E86760"/>
    <w:rsid w:val="00E9581C"/>
    <w:rsid w:val="00EA21BE"/>
    <w:rsid w:val="00EA2312"/>
    <w:rsid w:val="00EA4260"/>
    <w:rsid w:val="00EB32FB"/>
    <w:rsid w:val="00EB71E6"/>
    <w:rsid w:val="00EC652D"/>
    <w:rsid w:val="00EC6C4D"/>
    <w:rsid w:val="00ED0410"/>
    <w:rsid w:val="00ED494E"/>
    <w:rsid w:val="00ED5483"/>
    <w:rsid w:val="00ED6B18"/>
    <w:rsid w:val="00ED73BB"/>
    <w:rsid w:val="00EE0810"/>
    <w:rsid w:val="00EE1541"/>
    <w:rsid w:val="00EE337F"/>
    <w:rsid w:val="00EE38C6"/>
    <w:rsid w:val="00EE420D"/>
    <w:rsid w:val="00EE447F"/>
    <w:rsid w:val="00EE4562"/>
    <w:rsid w:val="00EE607D"/>
    <w:rsid w:val="00EE7093"/>
    <w:rsid w:val="00EF64BB"/>
    <w:rsid w:val="00F0061F"/>
    <w:rsid w:val="00F0465E"/>
    <w:rsid w:val="00F061B5"/>
    <w:rsid w:val="00F107DF"/>
    <w:rsid w:val="00F160A7"/>
    <w:rsid w:val="00F204F8"/>
    <w:rsid w:val="00F20A16"/>
    <w:rsid w:val="00F219AE"/>
    <w:rsid w:val="00F30A13"/>
    <w:rsid w:val="00F32D45"/>
    <w:rsid w:val="00F352E8"/>
    <w:rsid w:val="00F357AC"/>
    <w:rsid w:val="00F35A01"/>
    <w:rsid w:val="00F370C6"/>
    <w:rsid w:val="00F529D5"/>
    <w:rsid w:val="00F55AD8"/>
    <w:rsid w:val="00F6077C"/>
    <w:rsid w:val="00F72027"/>
    <w:rsid w:val="00F757E3"/>
    <w:rsid w:val="00F75A82"/>
    <w:rsid w:val="00F761A8"/>
    <w:rsid w:val="00F762A6"/>
    <w:rsid w:val="00F82E61"/>
    <w:rsid w:val="00F83DC2"/>
    <w:rsid w:val="00F9165C"/>
    <w:rsid w:val="00F9372B"/>
    <w:rsid w:val="00FA4B06"/>
    <w:rsid w:val="00FA75C8"/>
    <w:rsid w:val="00FB0A3B"/>
    <w:rsid w:val="00FB290E"/>
    <w:rsid w:val="00FB2AA2"/>
    <w:rsid w:val="00FC08BD"/>
    <w:rsid w:val="00FC4269"/>
    <w:rsid w:val="00FC5774"/>
    <w:rsid w:val="00FC5920"/>
    <w:rsid w:val="00FC7DE1"/>
    <w:rsid w:val="00FD78E7"/>
    <w:rsid w:val="00FE20C7"/>
    <w:rsid w:val="00FF04A8"/>
    <w:rsid w:val="00FF6693"/>
    <w:rsid w:val="00FF6E00"/>
    <w:rsid w:val="50C80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0"/>
    <w:pPr>
      <w:ind w:left="-359" w:leftChars="-171" w:right="-512" w:rightChars="-244" w:firstLine="717" w:firstLineChars="256"/>
    </w:pPr>
    <w:rPr>
      <w:rFonts w:ascii="仿宋_GB2312" w:hAnsi="Times New Roman" w:eastAsia="仿宋_GB2312" w:cs="Times New Roman"/>
      <w:sz w:val="2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footnote reference"/>
    <w:basedOn w:val="9"/>
    <w:semiHidden/>
    <w:unhideWhenUsed/>
    <w:qFormat/>
    <w:uiPriority w:val="0"/>
    <w:rPr>
      <w:vertAlign w:val="superscript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qFormat/>
    <w:uiPriority w:val="99"/>
  </w:style>
  <w:style w:type="character" w:customStyle="1" w:styleId="14">
    <w:name w:val="脚注文本 字符"/>
    <w:basedOn w:val="9"/>
    <w:link w:val="7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139EB-21D7-4A08-9D21-7B6476D20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605</Characters>
  <Lines>5</Lines>
  <Paragraphs>1</Paragraphs>
  <TotalTime>1841</TotalTime>
  <ScaleCrop>false</ScaleCrop>
  <LinksUpToDate>false</LinksUpToDate>
  <CharactersWithSpaces>709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2021-02-19T01:18:00Z</dcterms:created>
  <dc:creator>HP</dc:creator>
  <cp:lastModifiedBy>pbc</cp:lastModifiedBy>
  <cp:lastPrinted>2025-09-18T06:39:00Z</cp:lastPrinted>
  <dcterms:modified xsi:type="dcterms:W3CDTF">2025-09-19T07:49:29Z</dcterms:modified>
  <dc:title>长三角金融统计数据汇总发布框架</dc:title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